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hint="eastAsia"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
      <w:pPr>
        <w:jc w:val="center"/>
        <w:rPr>
          <w:rFonts w:ascii="楷体" w:hAnsi="楷体" w:eastAsia="楷体" w:cs="楷体"/>
          <w:sz w:val="28"/>
        </w:rPr>
      </w:pPr>
      <w:r>
        <w:rPr>
          <w:rFonts w:hint="eastAsia" w:ascii="楷体" w:hAnsi="楷体" w:eastAsia="楷体" w:cs="楷体"/>
          <w:sz w:val="32"/>
          <w:szCs w:val="24"/>
        </w:rPr>
        <w:t>2020年</w:t>
      </w:r>
      <w:r>
        <w:rPr>
          <w:rFonts w:hint="eastAsia" w:ascii="楷体" w:hAnsi="楷体" w:eastAsia="楷体" w:cs="楷体"/>
          <w:sz w:val="32"/>
          <w:szCs w:val="24"/>
          <w:lang w:val="en-US" w:eastAsia="zh-CN"/>
        </w:rPr>
        <w:t>6</w:t>
      </w:r>
      <w:r>
        <w:rPr>
          <w:rFonts w:hint="eastAsia" w:ascii="楷体" w:hAnsi="楷体" w:eastAsia="楷体" w:cs="楷体"/>
          <w:sz w:val="32"/>
          <w:szCs w:val="24"/>
        </w:rPr>
        <w:t>月</w:t>
      </w:r>
      <w:r>
        <w:rPr>
          <w:rFonts w:hint="eastAsia" w:ascii="楷体" w:hAnsi="楷体" w:eastAsia="楷体" w:cs="楷体"/>
          <w:sz w:val="32"/>
          <w:szCs w:val="24"/>
          <w:lang w:val="en-US" w:eastAsia="zh-CN"/>
        </w:rPr>
        <w:t>6</w:t>
      </w:r>
      <w:r>
        <w:rPr>
          <w:rFonts w:hint="eastAsia" w:ascii="楷体" w:hAnsi="楷体" w:eastAsia="楷体" w:cs="楷体"/>
          <w:sz w:val="32"/>
          <w:szCs w:val="24"/>
        </w:rPr>
        <w:t>日-</w:t>
      </w:r>
      <w:r>
        <w:rPr>
          <w:rFonts w:hint="eastAsia" w:ascii="楷体" w:hAnsi="楷体" w:eastAsia="楷体" w:cs="楷体"/>
          <w:sz w:val="32"/>
          <w:szCs w:val="24"/>
          <w:lang w:val="en-US" w:eastAsia="zh-CN"/>
        </w:rPr>
        <w:t>6</w:t>
      </w:r>
      <w:r>
        <w:rPr>
          <w:rFonts w:hint="eastAsia" w:ascii="楷体" w:hAnsi="楷体" w:eastAsia="楷体" w:cs="楷体"/>
          <w:sz w:val="32"/>
          <w:szCs w:val="24"/>
        </w:rPr>
        <w:t>月</w:t>
      </w:r>
      <w:r>
        <w:rPr>
          <w:rFonts w:hint="eastAsia" w:ascii="楷体" w:hAnsi="楷体" w:eastAsia="楷体" w:cs="楷体"/>
          <w:sz w:val="32"/>
          <w:szCs w:val="24"/>
          <w:lang w:val="en-US" w:eastAsia="zh-CN"/>
        </w:rPr>
        <w:t>12</w:t>
      </w:r>
      <w:r>
        <w:rPr>
          <w:rFonts w:hint="eastAsia" w:ascii="楷体" w:hAnsi="楷体" w:eastAsia="楷体" w:cs="楷体"/>
          <w:sz w:val="32"/>
          <w:szCs w:val="24"/>
        </w:rPr>
        <w:t>日</w:t>
      </w:r>
      <w:r>
        <w:rPr>
          <w:rFonts w:hint="eastAsia" w:ascii="楷体" w:hAnsi="楷体" w:eastAsia="楷体" w:cs="楷体"/>
          <w:sz w:val="28"/>
        </w:rPr>
        <w:t xml:space="preserve">    </w:t>
      </w:r>
      <w:r>
        <w:rPr>
          <w:rFonts w:hint="eastAsia" w:ascii="楷体" w:hAnsi="楷体" w:eastAsia="楷体" w:cs="楷体"/>
          <w:sz w:val="32"/>
          <w:szCs w:val="24"/>
        </w:rPr>
        <w:t>2020年第</w:t>
      </w:r>
      <w:r>
        <w:rPr>
          <w:rFonts w:hint="eastAsia" w:ascii="楷体" w:hAnsi="楷体" w:eastAsia="楷体" w:cs="楷体"/>
          <w:sz w:val="32"/>
          <w:szCs w:val="24"/>
          <w:lang w:val="en-US" w:eastAsia="zh-CN"/>
        </w:rPr>
        <w:t>18</w:t>
      </w:r>
      <w:r>
        <w:rPr>
          <w:rFonts w:hint="eastAsia" w:ascii="楷体" w:hAnsi="楷体" w:eastAsia="楷体" w:cs="楷体"/>
          <w:sz w:val="32"/>
          <w:szCs w:val="24"/>
        </w:rPr>
        <w:t>期 总第</w:t>
      </w:r>
      <w:r>
        <w:rPr>
          <w:rFonts w:hint="eastAsia" w:ascii="楷体" w:hAnsi="楷体" w:eastAsia="楷体" w:cs="楷体"/>
          <w:sz w:val="32"/>
          <w:szCs w:val="24"/>
          <w:lang w:val="en-US" w:eastAsia="zh-CN"/>
        </w:rPr>
        <w:t>25</w:t>
      </w:r>
      <w:r>
        <w:rPr>
          <w:rFonts w:hint="eastAsia" w:ascii="楷体" w:hAnsi="楷体" w:eastAsia="楷体" w:cs="楷体"/>
          <w:sz w:val="32"/>
          <w:szCs w:val="24"/>
        </w:rPr>
        <w:t>期</w:t>
      </w:r>
    </w:p>
    <w:p>
      <w:pPr>
        <w:spacing w:line="0" w:lineRule="atLeast"/>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lang w:val="en-US" w:eastAsia="zh-CN"/>
          <w14:textFill>
            <w14:solidFill>
              <w14:schemeClr w14:val="tx1">
                <w14:lumMod w14:val="85000"/>
                <w14:lumOff w14:val="15000"/>
              </w14:schemeClr>
            </w14:solidFill>
          </w14:textFill>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6月7日</w:t>
      </w:r>
      <w:r>
        <w:rPr>
          <w:rFonts w:hint="eastAsia" w:ascii="仿宋" w:hAnsi="仿宋" w:eastAsia="仿宋" w:cs="仿宋"/>
          <w:sz w:val="32"/>
          <w:szCs w:val="32"/>
          <w:shd w:val="clear" w:color="auto" w:fill="FFFFFF"/>
          <w:lang w:eastAsia="zh-CN"/>
        </w:rPr>
        <w:t>，中心</w:t>
      </w:r>
      <w:r>
        <w:rPr>
          <w:rFonts w:hint="eastAsia" w:ascii="仿宋" w:hAnsi="仿宋" w:eastAsia="仿宋" w:cs="仿宋"/>
          <w:sz w:val="32"/>
          <w:szCs w:val="32"/>
          <w:shd w:val="clear" w:color="auto" w:fill="FFFFFF"/>
          <w:lang w:val="en-US" w:eastAsia="zh-CN"/>
        </w:rPr>
        <w:t>核算并上报</w:t>
      </w:r>
      <w:r>
        <w:rPr>
          <w:rFonts w:hint="eastAsia" w:ascii="仿宋" w:hAnsi="仿宋" w:eastAsia="仿宋" w:cs="仿宋"/>
          <w:sz w:val="32"/>
          <w:szCs w:val="32"/>
          <w:shd w:val="clear" w:color="auto" w:fill="FFFFFF"/>
          <w:lang w:eastAsia="zh-CN"/>
        </w:rPr>
        <w:t>委</w:t>
      </w:r>
      <w:r>
        <w:rPr>
          <w:rFonts w:hint="eastAsia" w:ascii="仿宋" w:hAnsi="仿宋" w:eastAsia="仿宋" w:cs="仿宋"/>
          <w:sz w:val="32"/>
          <w:szCs w:val="32"/>
          <w:shd w:val="clear" w:color="auto" w:fill="FFFFFF"/>
          <w:lang w:val="en-US" w:eastAsia="zh-CN"/>
        </w:rPr>
        <w:t>领导</w:t>
      </w:r>
      <w:r>
        <w:rPr>
          <w:rFonts w:hint="eastAsia" w:ascii="仿宋" w:hAnsi="仿宋" w:eastAsia="仿宋" w:cs="仿宋"/>
          <w:sz w:val="32"/>
          <w:szCs w:val="32"/>
          <w:shd w:val="clear" w:color="auto" w:fill="FFFFFF"/>
          <w:lang w:eastAsia="zh-CN"/>
        </w:rPr>
        <w:t>医疗卫生机构、床位数、卫生人员、诊疗人次、住院情况、病床使用、医师负担等指标数据。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sz w:val="32"/>
          <w:lang w:val="en-US" w:eastAsia="zh-CN"/>
        </w:rPr>
        <w:t>6</w:t>
      </w:r>
      <w:r>
        <w:rPr>
          <w:rFonts w:hint="eastAsia" w:ascii="黑体" w:hAnsi="黑体" w:eastAsia="黑体"/>
          <w:sz w:val="32"/>
        </w:rPr>
        <w:t>月</w:t>
      </w:r>
      <w:r>
        <w:rPr>
          <w:rFonts w:hint="eastAsia" w:ascii="黑体" w:hAnsi="黑体" w:eastAsia="黑体"/>
          <w:sz w:val="32"/>
          <w:lang w:val="en-US" w:eastAsia="zh-CN"/>
        </w:rPr>
        <w:t>8</w:t>
      </w:r>
      <w:r>
        <w:rPr>
          <w:rFonts w:hint="eastAsia" w:ascii="黑体" w:hAnsi="黑体" w:eastAsia="黑体"/>
          <w:sz w:val="32"/>
        </w:rPr>
        <w:t>日</w:t>
      </w:r>
      <w:r>
        <w:rPr>
          <w:rFonts w:hint="eastAsia" w:ascii="仿宋" w:hAnsi="仿宋" w:eastAsia="仿宋" w:cs="仿宋"/>
          <w:sz w:val="32"/>
          <w:szCs w:val="32"/>
          <w:shd w:val="clear" w:color="auto" w:fill="FFFFFF"/>
        </w:rPr>
        <w:t>，中心召开网络安全领导小组工作会议。奇安信公司网络安全工程师就等保2.0的技术安全与管理安全建设内容进行了重点解读，会议对</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rPr>
        <w:t>网络安全从长远和全局建设方面提出了具体要求。</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，省中医药管理局批复同意长春中医药大学附属医院设置互联网医院、在医疗机构服务方式上增加互联网诊疗，</w:t>
      </w:r>
      <w:r>
        <w:rPr>
          <w:rFonts w:hint="eastAsia" w:ascii="仿宋" w:hAnsi="仿宋" w:eastAsia="仿宋" w:cs="仿宋"/>
          <w:sz w:val="32"/>
          <w:szCs w:val="32"/>
          <w:shd w:val="clear" w:color="auto" w:fill="FFFFFF"/>
          <w:lang w:val="en-US" w:eastAsia="zh-CN"/>
        </w:rPr>
        <w:t>该院</w:t>
      </w:r>
      <w:r>
        <w:rPr>
          <w:rFonts w:hint="eastAsia" w:ascii="仿宋" w:hAnsi="仿宋" w:eastAsia="仿宋" w:cs="仿宋"/>
          <w:sz w:val="32"/>
          <w:szCs w:val="32"/>
          <w:shd w:val="clear" w:color="auto" w:fill="FFFFFF"/>
          <w:lang w:eastAsia="zh-CN"/>
        </w:rPr>
        <w:t>成为我省首家正式开通互联网医院的中医医院。</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w:t>
      </w:r>
      <w:r>
        <w:rPr>
          <w:rFonts w:hint="eastAsia" w:ascii="仿宋" w:hAnsi="仿宋" w:eastAsia="仿宋" w:cs="仿宋"/>
          <w:sz w:val="32"/>
          <w:szCs w:val="32"/>
          <w:shd w:val="clear" w:color="auto" w:fill="FFFFFF"/>
          <w:lang w:val="en-US" w:eastAsia="zh-CN"/>
        </w:rPr>
        <w:t>核算并上报</w:t>
      </w:r>
      <w:r>
        <w:rPr>
          <w:rFonts w:hint="eastAsia" w:ascii="仿宋" w:hAnsi="仿宋" w:eastAsia="仿宋" w:cs="仿宋"/>
          <w:sz w:val="32"/>
          <w:szCs w:val="32"/>
          <w:shd w:val="clear" w:color="auto" w:fill="FFFFFF"/>
          <w:lang w:eastAsia="zh-CN"/>
        </w:rPr>
        <w:t>委医政医管处一级、二级和三级医院门诊次均费用、住院次均费用等指标数据。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6月9日</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完成纪检监察内网建设项目</w:t>
      </w:r>
      <w:r>
        <w:rPr>
          <w:rFonts w:hint="eastAsia" w:ascii="仿宋" w:hAnsi="仿宋" w:eastAsia="仿宋" w:cs="仿宋"/>
          <w:sz w:val="32"/>
          <w:szCs w:val="32"/>
          <w:shd w:val="clear" w:color="auto" w:fill="FFFFFF"/>
          <w:lang w:val="en-US" w:eastAsia="zh-CN"/>
        </w:rPr>
        <w:t>交换机等部分硬件</w:t>
      </w:r>
      <w:r>
        <w:rPr>
          <w:rFonts w:hint="eastAsia" w:ascii="仿宋" w:hAnsi="仿宋" w:eastAsia="仿宋" w:cs="仿宋"/>
          <w:sz w:val="32"/>
          <w:szCs w:val="32"/>
          <w:shd w:val="clear" w:color="auto" w:fill="FFFFFF"/>
          <w:lang w:eastAsia="zh-CN"/>
        </w:rPr>
        <w:t>设备接收工作，现场确认了终端使用位置。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6月10日</w:t>
      </w:r>
      <w:r>
        <w:rPr>
          <w:rFonts w:hint="eastAsia" w:ascii="仿宋" w:hAnsi="仿宋" w:eastAsia="仿宋" w:cs="仿宋"/>
          <w:sz w:val="32"/>
          <w:szCs w:val="32"/>
          <w:shd w:val="clear" w:color="auto" w:fill="FFFFFF"/>
          <w:lang w:val="en-US" w:eastAsia="zh-CN"/>
        </w:rPr>
        <w:t>，中心</w:t>
      </w:r>
      <w:r>
        <w:rPr>
          <w:rFonts w:hint="eastAsia" w:ascii="仿宋" w:hAnsi="仿宋" w:eastAsia="仿宋" w:cs="仿宋"/>
          <w:sz w:val="32"/>
          <w:szCs w:val="32"/>
          <w:shd w:val="clear" w:color="auto" w:fill="FFFFFF"/>
          <w:lang w:eastAsia="zh-CN"/>
        </w:rPr>
        <w:t>协助委老龄健康处完成关于召开建档立卡失能贫困老年人照护工作电视电话会议设备调试连接工作。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同</w:t>
      </w:r>
      <w:r>
        <w:rPr>
          <w:rFonts w:hint="eastAsia" w:ascii="黑体" w:hAnsi="黑体" w:eastAsia="黑体" w:cs="黑体"/>
          <w:sz w:val="32"/>
          <w:szCs w:val="32"/>
          <w:shd w:val="clear" w:color="auto" w:fill="FFFFFF"/>
          <w:lang w:eastAsia="zh-CN"/>
        </w:rPr>
        <w:t>日</w:t>
      </w:r>
      <w:r>
        <w:rPr>
          <w:rFonts w:hint="eastAsia" w:ascii="仿宋" w:hAnsi="仿宋" w:eastAsia="仿宋" w:cs="仿宋"/>
          <w:sz w:val="32"/>
          <w:szCs w:val="32"/>
          <w:shd w:val="clear" w:color="auto" w:fill="FFFFFF"/>
          <w:lang w:eastAsia="zh-CN"/>
        </w:rPr>
        <w:t>，中心向委医政医管处提供基层医疗卫生机构总诊疗人次等指标数据。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6月11日</w:t>
      </w:r>
      <w:r>
        <w:rPr>
          <w:rFonts w:hint="eastAsia" w:ascii="仿宋" w:hAnsi="仿宋" w:eastAsia="仿宋" w:cs="仿宋"/>
          <w:sz w:val="32"/>
          <w:szCs w:val="32"/>
          <w:shd w:val="clear" w:color="auto" w:fill="FFFFFF"/>
          <w:lang w:eastAsia="zh-CN"/>
        </w:rPr>
        <w:t>，省卫生健康委批复同意将吉林大学第二医院互联网医院作为医疗机构第二名称；同意将吉林大学中日联谊医院互联网医院作为医疗机构第二名称。</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val="en-US" w:eastAsia="zh-CN"/>
        </w:rPr>
        <w:t>6</w:t>
      </w:r>
      <w:r>
        <w:rPr>
          <w:rFonts w:hint="eastAsia" w:ascii="黑体" w:hAnsi="黑体" w:eastAsia="黑体" w:cs="黑体"/>
          <w:sz w:val="32"/>
          <w:szCs w:val="32"/>
          <w:shd w:val="clear" w:color="auto" w:fill="FFFFFF"/>
          <w:lang w:eastAsia="zh-CN"/>
        </w:rPr>
        <w:t>月</w:t>
      </w:r>
      <w:r>
        <w:rPr>
          <w:rFonts w:hint="eastAsia" w:ascii="黑体" w:hAnsi="黑体" w:eastAsia="黑体" w:cs="黑体"/>
          <w:sz w:val="32"/>
          <w:szCs w:val="32"/>
          <w:shd w:val="clear" w:color="auto" w:fill="FFFFFF"/>
          <w:lang w:val="en-US" w:eastAsia="zh-CN"/>
        </w:rPr>
        <w:t>1</w:t>
      </w:r>
      <w:r>
        <w:rPr>
          <w:rFonts w:hint="eastAsia" w:ascii="黑体" w:hAnsi="黑体" w:eastAsia="黑体" w:cs="黑体"/>
          <w:sz w:val="32"/>
          <w:szCs w:val="32"/>
          <w:shd w:val="clear" w:color="auto" w:fill="FFFFFF"/>
          <w:lang w:eastAsia="zh-CN"/>
        </w:rPr>
        <w:t>2日</w:t>
      </w:r>
      <w:r>
        <w:rPr>
          <w:rFonts w:hint="eastAsia" w:ascii="仿宋" w:hAnsi="仿宋" w:eastAsia="仿宋" w:cs="仿宋"/>
          <w:sz w:val="32"/>
          <w:szCs w:val="32"/>
          <w:shd w:val="clear" w:color="auto" w:fill="FFFFFF"/>
          <w:lang w:eastAsia="zh-CN"/>
        </w:rPr>
        <w:t>，按照委规划信息处要求，中心完成各业务信息系统网络安全情况调研、上报工作。</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同日</w:t>
      </w:r>
      <w:r>
        <w:rPr>
          <w:rFonts w:hint="eastAsia" w:ascii="仿宋" w:hAnsi="仿宋" w:eastAsia="仿宋" w:cs="仿宋"/>
          <w:sz w:val="32"/>
          <w:szCs w:val="32"/>
          <w:shd w:val="clear" w:color="auto" w:fill="FFFFFF"/>
          <w:lang w:eastAsia="zh-CN"/>
        </w:rPr>
        <w:t>，中心完成省卫生健康委电子政务协同办公系统迁移至省全民健康数据中心机房。</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同日</w:t>
      </w:r>
      <w:r>
        <w:rPr>
          <w:rFonts w:hint="eastAsia" w:ascii="仿宋" w:hAnsi="仿宋" w:eastAsia="仿宋" w:cs="仿宋"/>
          <w:sz w:val="32"/>
          <w:szCs w:val="32"/>
          <w:shd w:val="clear" w:color="auto" w:fill="FFFFFF"/>
          <w:lang w:eastAsia="zh-CN"/>
        </w:rPr>
        <w:t>，中心向委医政医管处提供二级医院机构等指标数据。</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黑体"/>
          <w:sz w:val="32"/>
          <w:szCs w:val="32"/>
        </w:rPr>
      </w:pPr>
      <w:r>
        <w:rPr>
          <w:rFonts w:hint="eastAsia" w:ascii="仿宋" w:hAnsi="仿宋" w:eastAsia="仿宋"/>
          <w:sz w:val="32"/>
        </w:rPr>
        <w:t>1月20日-</w:t>
      </w:r>
      <w:r>
        <w:rPr>
          <w:rFonts w:hint="eastAsia" w:ascii="仿宋" w:hAnsi="仿宋" w:eastAsia="仿宋"/>
          <w:sz w:val="32"/>
          <w:lang w:val="en-US" w:eastAsia="zh-CN"/>
        </w:rPr>
        <w:t>6</w:t>
      </w:r>
      <w:r>
        <w:rPr>
          <w:rFonts w:hint="eastAsia" w:ascii="仿宋" w:hAnsi="仿宋" w:eastAsia="仿宋"/>
          <w:sz w:val="32"/>
        </w:rPr>
        <w:t>月</w:t>
      </w:r>
      <w:r>
        <w:rPr>
          <w:rFonts w:hint="eastAsia" w:ascii="仿宋" w:hAnsi="仿宋" w:eastAsia="仿宋"/>
          <w:sz w:val="32"/>
          <w:lang w:val="en-US" w:eastAsia="zh-CN"/>
        </w:rPr>
        <w:t>12</w:t>
      </w:r>
      <w:r>
        <w:rPr>
          <w:rFonts w:hint="eastAsia" w:ascii="仿宋" w:hAnsi="仿宋" w:eastAsia="仿宋"/>
          <w:sz w:val="32"/>
        </w:rPr>
        <w:t>日新冠肺炎疫情防控期间，全省共有</w:t>
      </w:r>
      <w:r>
        <w:rPr>
          <w:rFonts w:ascii="Arial" w:hAnsi="Arial" w:eastAsia="仿宋" w:cs="Arial"/>
          <w:color w:val="auto"/>
          <w:sz w:val="32"/>
        </w:rPr>
        <w:t>15</w:t>
      </w:r>
      <w:r>
        <w:rPr>
          <w:rFonts w:hint="eastAsia" w:ascii="Arial" w:hAnsi="Arial" w:eastAsia="仿宋" w:cs="Arial"/>
          <w:color w:val="auto"/>
          <w:sz w:val="32"/>
          <w:lang w:val="en-US" w:eastAsia="zh-CN"/>
        </w:rPr>
        <w:t>5</w:t>
      </w:r>
      <w:r>
        <w:rPr>
          <w:rFonts w:hint="eastAsia" w:ascii="仿宋" w:hAnsi="仿宋" w:eastAsia="仿宋"/>
          <w:color w:val="auto"/>
          <w:sz w:val="32"/>
        </w:rPr>
        <w:t>家医院</w:t>
      </w:r>
      <w:r>
        <w:rPr>
          <w:rFonts w:hint="eastAsia" w:ascii="Arial" w:hAnsi="Arial" w:eastAsia="仿宋" w:cs="Arial"/>
          <w:color w:val="auto"/>
          <w:sz w:val="32"/>
          <w:lang w:val="en-US" w:eastAsia="zh-CN"/>
        </w:rPr>
        <w:t>1682</w:t>
      </w:r>
      <w:r>
        <w:rPr>
          <w:rFonts w:hint="eastAsia" w:ascii="仿宋" w:hAnsi="仿宋" w:eastAsia="仿宋"/>
          <w:color w:val="auto"/>
          <w:sz w:val="32"/>
        </w:rPr>
        <w:t>名医生为居民提供线上义诊咨询服务。截</w:t>
      </w:r>
      <w:r>
        <w:rPr>
          <w:rFonts w:hint="eastAsia" w:ascii="仿宋" w:hAnsi="仿宋" w:eastAsia="仿宋"/>
          <w:sz w:val="32"/>
        </w:rPr>
        <w:t>至</w:t>
      </w:r>
      <w:r>
        <w:rPr>
          <w:rFonts w:hint="eastAsia" w:ascii="仿宋" w:hAnsi="仿宋" w:eastAsia="仿宋"/>
          <w:sz w:val="32"/>
          <w:lang w:val="en-US" w:eastAsia="zh-CN"/>
        </w:rPr>
        <w:t>6</w:t>
      </w:r>
      <w:r>
        <w:rPr>
          <w:rFonts w:hint="eastAsia" w:ascii="仿宋" w:hAnsi="仿宋" w:eastAsia="仿宋"/>
          <w:sz w:val="32"/>
        </w:rPr>
        <w:t>月</w:t>
      </w:r>
      <w:r>
        <w:rPr>
          <w:rFonts w:hint="eastAsia" w:ascii="仿宋" w:hAnsi="仿宋" w:eastAsia="仿宋"/>
          <w:sz w:val="32"/>
          <w:lang w:val="en-US" w:eastAsia="zh-CN"/>
        </w:rPr>
        <w:t>12</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lang w:val="en-US" w:eastAsia="zh-CN"/>
        </w:rPr>
        <w:t>7998514</w:t>
      </w:r>
      <w:r>
        <w:rPr>
          <w:rFonts w:hint="eastAsia" w:ascii="仿宋" w:hAnsi="仿宋" w:eastAsia="仿宋"/>
          <w:color w:val="auto"/>
          <w:sz w:val="32"/>
        </w:rPr>
        <w:t>人次，其中“医生在线”问诊服务累计</w:t>
      </w:r>
      <w:r>
        <w:rPr>
          <w:rFonts w:hint="eastAsia" w:ascii="Arial" w:hAnsi="Arial" w:eastAsia="Arial Unicode MS" w:cs="Arial"/>
          <w:color w:val="auto"/>
          <w:sz w:val="32"/>
        </w:rPr>
        <w:t>78641</w:t>
      </w:r>
      <w:r>
        <w:rPr>
          <w:rFonts w:hint="eastAsia" w:ascii="仿宋" w:hAnsi="仿宋" w:eastAsia="仿宋"/>
          <w:color w:val="auto"/>
          <w:sz w:val="32"/>
        </w:rPr>
        <w:t>人次。</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6</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12</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rPr>
        <w:t>9719287</w:t>
      </w:r>
      <w:r>
        <w:rPr>
          <w:rFonts w:hint="eastAsia" w:ascii="仿宋" w:hAnsi="仿宋" w:eastAsia="仿宋" w:cs="仿宋"/>
          <w:color w:val="auto"/>
          <w:sz w:val="32"/>
          <w:szCs w:val="32"/>
        </w:rPr>
        <w:t>人用卡，</w:t>
      </w:r>
      <w:r>
        <w:rPr>
          <w:rFonts w:hint="eastAsia" w:ascii="Arial" w:hAnsi="Arial" w:eastAsia="仿宋" w:cs="Arial"/>
          <w:color w:val="auto"/>
          <w:sz w:val="32"/>
          <w:szCs w:val="32"/>
          <w:lang w:val="en-US" w:eastAsia="zh-CN"/>
        </w:rPr>
        <w:t>24098984</w:t>
      </w:r>
      <w:r>
        <w:rPr>
          <w:rFonts w:hint="eastAsia" w:ascii="仿宋" w:hAnsi="仿宋" w:eastAsia="仿宋" w:cs="仿宋"/>
          <w:color w:val="auto"/>
          <w:sz w:val="32"/>
          <w:szCs w:val="32"/>
        </w:rPr>
        <w:t>人次用卡。</w:t>
      </w:r>
    </w:p>
    <w:p>
      <w:pPr>
        <w:spacing w:line="0" w:lineRule="atLeast"/>
        <w:rPr>
          <w:rFonts w:ascii="仿宋" w:hAnsi="仿宋" w:eastAsia="仿宋"/>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截</w:t>
      </w:r>
      <w:r>
        <w:rPr>
          <w:rFonts w:hint="eastAsia" w:ascii="仿宋" w:hAnsi="仿宋" w:eastAsia="仿宋" w:cs="仿宋"/>
          <w:color w:val="auto"/>
          <w:sz w:val="32"/>
          <w:szCs w:val="32"/>
          <w:lang w:eastAsia="zh-CN"/>
        </w:rPr>
        <w:t>至</w:t>
      </w:r>
      <w:r>
        <w:rPr>
          <w:rFonts w:hint="eastAsia" w:ascii="仿宋" w:hAnsi="仿宋" w:eastAsia="仿宋" w:cs="仿宋"/>
          <w:color w:val="auto"/>
          <w:sz w:val="32"/>
          <w:szCs w:val="32"/>
        </w:rPr>
        <w:t>6月</w:t>
      </w: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日，</w:t>
      </w:r>
      <w:r>
        <w:rPr>
          <w:rFonts w:hint="eastAsia" w:ascii="仿宋" w:hAnsi="仿宋" w:eastAsia="仿宋" w:cs="仿宋"/>
          <w:color w:val="auto"/>
          <w:sz w:val="32"/>
          <w:szCs w:val="32"/>
          <w:lang w:val="en-US" w:eastAsia="zh-CN"/>
        </w:rPr>
        <w:t>全省</w:t>
      </w:r>
      <w:r>
        <w:rPr>
          <w:rFonts w:hint="eastAsia" w:ascii="仿宋" w:hAnsi="仿宋" w:eastAsia="仿宋" w:cs="仿宋"/>
          <w:color w:val="auto"/>
          <w:sz w:val="32"/>
          <w:szCs w:val="32"/>
        </w:rPr>
        <w:t>已有</w:t>
      </w:r>
      <w:r>
        <w:rPr>
          <w:rFonts w:hint="eastAsia" w:ascii="Arial" w:hAnsi="Arial" w:eastAsia="仿宋" w:cs="Arial"/>
          <w:color w:val="auto"/>
          <w:sz w:val="32"/>
          <w:szCs w:val="32"/>
          <w:lang w:val="en-US" w:eastAsia="zh-CN"/>
        </w:rPr>
        <w:t>4</w:t>
      </w:r>
      <w:r>
        <w:rPr>
          <w:rFonts w:hint="eastAsia" w:ascii="仿宋" w:hAnsi="仿宋" w:eastAsia="仿宋" w:cs="仿宋"/>
          <w:color w:val="auto"/>
          <w:sz w:val="32"/>
          <w:szCs w:val="32"/>
        </w:rPr>
        <w:t>家医院获得互联网医院运营资质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省互联网医疗服务监管平台接</w:t>
      </w:r>
      <w:r>
        <w:rPr>
          <w:rFonts w:hint="eastAsia" w:ascii="仿宋" w:hAnsi="仿宋" w:eastAsia="仿宋" w:cs="仿宋"/>
          <w:color w:val="auto"/>
          <w:sz w:val="32"/>
          <w:szCs w:val="32"/>
          <w:lang w:val="en-US" w:eastAsia="zh-CN"/>
        </w:rPr>
        <w:t>收</w:t>
      </w:r>
      <w:r>
        <w:rPr>
          <w:rFonts w:hint="eastAsia" w:ascii="仿宋" w:hAnsi="仿宋" w:eastAsia="仿宋" w:cs="仿宋"/>
          <w:color w:val="auto"/>
          <w:sz w:val="32"/>
          <w:szCs w:val="32"/>
        </w:rPr>
        <w:t>吉大一院互联网医院预约挂号数据共</w:t>
      </w:r>
      <w:r>
        <w:rPr>
          <w:rFonts w:hint="eastAsia" w:ascii="Arial" w:hAnsi="Arial" w:eastAsia="仿宋" w:cs="Arial"/>
          <w:color w:val="auto"/>
          <w:sz w:val="32"/>
          <w:szCs w:val="32"/>
          <w:lang w:val="en-US" w:eastAsia="zh-CN"/>
        </w:rPr>
        <w:t>39413</w:t>
      </w:r>
      <w:r>
        <w:rPr>
          <w:rFonts w:hint="eastAsia" w:ascii="仿宋" w:hAnsi="仿宋" w:eastAsia="仿宋" w:cs="仿宋"/>
          <w:color w:val="auto"/>
          <w:sz w:val="32"/>
          <w:szCs w:val="32"/>
        </w:rPr>
        <w:t>人次。</w:t>
      </w:r>
    </w:p>
    <w:p>
      <w:pPr>
        <w:spacing w:line="0" w:lineRule="atLeast"/>
        <w:rPr>
          <w:rFonts w:ascii="仿宋" w:hAnsi="仿宋" w:eastAsia="仿宋"/>
        </w:rPr>
      </w:pPr>
    </w:p>
    <w:tbl>
      <w:tblPr>
        <w:tblStyle w:val="7"/>
        <w:tblpPr w:leftFromText="180" w:rightFromText="180" w:vertAnchor="text" w:horzAnchor="page" w:tblpXSpec="center" w:tblpY="151"/>
        <w:tblOverlap w:val="never"/>
        <w:tblW w:w="9528"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480"/>
        <w:gridCol w:w="3183"/>
        <w:gridCol w:w="1466"/>
        <w:gridCol w:w="1466"/>
        <w:gridCol w:w="1466"/>
        <w:gridCol w:w="1467"/>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1141" w:hRule="atLeast"/>
          <w:tblHeader/>
          <w:jc w:val="center"/>
        </w:trPr>
        <w:tc>
          <w:tcPr>
            <w:tcW w:w="480"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p>
        </w:tc>
        <w:tc>
          <w:tcPr>
            <w:tcW w:w="3183" w:type="dxa"/>
            <w:vAlign w:val="center"/>
          </w:tcPr>
          <w:p>
            <w:pPr>
              <w:spacing w:line="0" w:lineRule="atLeast"/>
              <w:jc w:val="center"/>
              <w:rPr>
                <w:rFonts w:hint="default" w:ascii="黑体" w:hAnsi="黑体" w:eastAsia="黑体" w:cs="黑体"/>
                <w:color w:val="auto"/>
                <w:sz w:val="28"/>
                <w:szCs w:val="28"/>
                <w:lang w:val="en-US" w:eastAsia="zh-CN"/>
              </w:rPr>
            </w:pPr>
            <w:r>
              <w:rPr>
                <w:rFonts w:hint="eastAsia" w:ascii="黑体" w:hAnsi="黑体" w:eastAsia="黑体" w:cs="黑体"/>
                <w:color w:val="auto"/>
                <w:sz w:val="28"/>
                <w:szCs w:val="28"/>
                <w:lang w:val="en-US" w:eastAsia="zh-CN"/>
              </w:rPr>
              <w:t>医疗机构</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吉大一院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吉大二院</w:t>
            </w:r>
          </w:p>
        </w:tc>
        <w:tc>
          <w:tcPr>
            <w:tcW w:w="1466" w:type="dxa"/>
            <w:vAlign w:val="center"/>
          </w:tcPr>
          <w:p>
            <w:pPr>
              <w:spacing w:line="0" w:lineRule="atLeast"/>
              <w:jc w:val="center"/>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lang w:eastAsia="zh-CN"/>
              </w:rPr>
              <w:t>吉大中日联谊医院</w:t>
            </w:r>
          </w:p>
        </w:tc>
        <w:tc>
          <w:tcPr>
            <w:tcW w:w="1467" w:type="dxa"/>
            <w:vAlign w:val="center"/>
          </w:tcPr>
          <w:p>
            <w:pPr>
              <w:spacing w:line="0" w:lineRule="atLeas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长春中医药大学附属医院</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778" w:hRule="atLeast"/>
          <w:jc w:val="center"/>
        </w:trPr>
        <w:tc>
          <w:tcPr>
            <w:tcW w:w="480" w:type="dxa"/>
            <w:vMerge w:val="restart"/>
            <w:vAlign w:val="center"/>
          </w:tcPr>
          <w:p>
            <w:pPr>
              <w:spacing w:line="0" w:lineRule="atLeast"/>
              <w:jc w:val="both"/>
              <w:rPr>
                <w:rFonts w:hint="default" w:ascii="宋体" w:hAnsi="宋体" w:eastAsia="宋体" w:cs="宋体"/>
                <w:color w:val="auto"/>
                <w:sz w:val="28"/>
                <w:szCs w:val="28"/>
                <w:lang w:val="en-US" w:eastAsia="zh-CN"/>
              </w:rPr>
            </w:pPr>
            <w:r>
              <w:rPr>
                <w:rFonts w:hint="eastAsia" w:ascii="黑体" w:hAnsi="黑体" w:eastAsia="黑体" w:cs="黑体"/>
                <w:color w:val="auto"/>
                <w:sz w:val="28"/>
                <w:szCs w:val="28"/>
                <w:lang w:val="en-US" w:eastAsia="zh-CN"/>
              </w:rPr>
              <w:t>数据项</w:t>
            </w: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获取监管平台医师唯一标识（次）</w:t>
            </w:r>
          </w:p>
        </w:tc>
        <w:tc>
          <w:tcPr>
            <w:tcW w:w="1466"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19</w:t>
            </w:r>
          </w:p>
        </w:tc>
        <w:tc>
          <w:tcPr>
            <w:tcW w:w="1466" w:type="dxa"/>
            <w:vAlign w:val="center"/>
          </w:tcPr>
          <w:p>
            <w:pPr>
              <w:spacing w:line="0" w:lineRule="atLeast"/>
              <w:jc w:val="center"/>
              <w:rPr>
                <w:rFonts w:hint="default"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tcBorders/>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网上预约挂号（人次）</w:t>
            </w:r>
          </w:p>
        </w:tc>
        <w:tc>
          <w:tcPr>
            <w:tcW w:w="1466"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39413</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tcBorders/>
            <w:vAlign w:val="center"/>
          </w:tcPr>
          <w:p>
            <w:pPr>
              <w:spacing w:line="0" w:lineRule="atLeast"/>
              <w:jc w:val="center"/>
              <w:rPr>
                <w:rFonts w:hint="default"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网络咨询服务（人次）</w:t>
            </w:r>
          </w:p>
        </w:tc>
        <w:tc>
          <w:tcPr>
            <w:tcW w:w="1466" w:type="dxa"/>
            <w:vAlign w:val="center"/>
          </w:tcPr>
          <w:p>
            <w:pPr>
              <w:spacing w:line="0" w:lineRule="atLeast"/>
              <w:jc w:val="center"/>
              <w:rPr>
                <w:rFonts w:hint="default"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113</w:t>
            </w:r>
          </w:p>
        </w:tc>
        <w:tc>
          <w:tcPr>
            <w:tcW w:w="1466" w:type="dxa"/>
            <w:vAlign w:val="center"/>
          </w:tcPr>
          <w:p>
            <w:pPr>
              <w:spacing w:line="0" w:lineRule="atLeast"/>
              <w:jc w:val="center"/>
              <w:rPr>
                <w:rFonts w:hint="eastAsia" w:ascii="宋体" w:hAnsi="宋体" w:eastAsia="宋体" w:cs="宋体"/>
                <w:color w:val="808080" w:themeColor="text1" w:themeTint="80"/>
                <w:kern w:val="2"/>
                <w:sz w:val="28"/>
                <w:szCs w:val="28"/>
                <w:lang w:val="en-US" w:eastAsia="zh-CN" w:bidi="ar-SA"/>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tcBorders/>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在线医技预约（人次）</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tcBorders/>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医生评价信息（人次）</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tcBorders/>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网</w:t>
            </w:r>
            <w:bookmarkStart w:id="0" w:name="_GoBack"/>
            <w:bookmarkEnd w:id="0"/>
            <w:r>
              <w:rPr>
                <w:rFonts w:hint="eastAsia" w:ascii="宋体" w:hAnsi="宋体" w:eastAsia="宋体" w:cs="宋体"/>
                <w:color w:val="auto"/>
                <w:sz w:val="28"/>
                <w:szCs w:val="28"/>
                <w:lang w:eastAsia="zh-CN"/>
              </w:rPr>
              <w:t>络诊疗服务（人次）</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tcBorders/>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电子处方（人次）</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tcBorders/>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电子处方药品明细（个）</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480" w:type="dxa"/>
            <w:vMerge w:val="continue"/>
            <w:tcBorders/>
            <w:vAlign w:val="center"/>
          </w:tcPr>
          <w:p>
            <w:pPr>
              <w:spacing w:line="0" w:lineRule="atLeast"/>
              <w:jc w:val="center"/>
              <w:rPr>
                <w:rFonts w:hint="eastAsia" w:ascii="宋体" w:hAnsi="宋体" w:eastAsia="宋体" w:cs="宋体"/>
                <w:color w:val="auto"/>
                <w:sz w:val="28"/>
                <w:szCs w:val="28"/>
                <w:lang w:val="en-US" w:eastAsia="zh-CN"/>
              </w:rPr>
            </w:pPr>
          </w:p>
        </w:tc>
        <w:tc>
          <w:tcPr>
            <w:tcW w:w="3183"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线上诊疗服务图片（张）</w:t>
            </w:r>
          </w:p>
        </w:tc>
        <w:tc>
          <w:tcPr>
            <w:tcW w:w="1466" w:type="dxa"/>
            <w:vAlign w:val="center"/>
          </w:tcPr>
          <w:p>
            <w:pPr>
              <w:spacing w:line="0" w:lineRule="atLeast"/>
              <w:jc w:val="center"/>
              <w:rPr>
                <w:rFonts w:hint="eastAsia" w:ascii="宋体" w:hAnsi="宋体" w:eastAsia="宋体" w:cs="宋体"/>
                <w:color w:val="808080" w:themeColor="text1" w:themeTint="80"/>
                <w:sz w:val="28"/>
                <w:szCs w:val="28"/>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6"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c>
          <w:tcPr>
            <w:tcW w:w="1467" w:type="dxa"/>
            <w:vAlign w:val="center"/>
          </w:tcPr>
          <w:p>
            <w:pPr>
              <w:spacing w:line="0" w:lineRule="atLeast"/>
              <w:jc w:val="center"/>
              <w:rPr>
                <w:rFonts w:hint="eastAsia" w:ascii="宋体" w:hAnsi="宋体" w:eastAsia="宋体" w:cs="宋体"/>
                <w:color w:val="808080" w:themeColor="text1" w:themeTint="80"/>
                <w:sz w:val="28"/>
                <w:szCs w:val="28"/>
                <w:lang w:eastAsia="zh-CN"/>
                <w14:textFill>
                  <w14:solidFill>
                    <w14:schemeClr w14:val="tx1">
                      <w14:lumMod w14:val="50000"/>
                      <w14:lumOff w14:val="50000"/>
                    </w14:schemeClr>
                  </w14:solidFill>
                </w14:textFill>
              </w:rPr>
            </w:pPr>
            <w:r>
              <w:rPr>
                <w:rFonts w:hint="eastAsia" w:ascii="宋体" w:hAnsi="宋体" w:eastAsia="宋体" w:cs="宋体"/>
                <w:color w:val="808080" w:themeColor="text1" w:themeTint="80"/>
                <w:sz w:val="28"/>
                <w:szCs w:val="28"/>
                <w:lang w:val="en-US" w:eastAsia="zh-CN"/>
                <w14:textFill>
                  <w14:solidFill>
                    <w14:schemeClr w14:val="tx1">
                      <w14:lumMod w14:val="50000"/>
                      <w14:lumOff w14:val="50000"/>
                    </w14:schemeClr>
                  </w14:solidFill>
                </w14:textFill>
              </w:rPr>
              <w:t>0</w:t>
            </w:r>
          </w:p>
        </w:tc>
      </w:tr>
    </w:tbl>
    <w:p>
      <w:pPr>
        <w:spacing w:line="0" w:lineRule="atLeast"/>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6</w:t>
      </w:r>
      <w:r>
        <w:rPr>
          <w:rFonts w:hint="eastAsia" w:ascii="仿宋" w:hAnsi="仿宋" w:eastAsia="仿宋" w:cs="黑体"/>
          <w:sz w:val="32"/>
          <w:szCs w:val="32"/>
        </w:rPr>
        <w:t>月</w:t>
      </w:r>
      <w:r>
        <w:rPr>
          <w:rFonts w:hint="eastAsia" w:ascii="仿宋" w:hAnsi="仿宋" w:eastAsia="仿宋" w:cs="黑体"/>
          <w:sz w:val="32"/>
          <w:szCs w:val="32"/>
          <w:lang w:val="en-US" w:eastAsia="zh-CN"/>
        </w:rPr>
        <w:t>12</w:t>
      </w:r>
      <w:r>
        <w:rPr>
          <w:rFonts w:hint="eastAsia" w:ascii="仿宋" w:hAnsi="仿宋" w:eastAsia="仿宋" w:cs="黑体"/>
          <w:sz w:val="32"/>
          <w:szCs w:val="32"/>
        </w:rPr>
        <w:t>日</w:t>
      </w:r>
      <w:r>
        <w:rPr>
          <w:rFonts w:hint="eastAsia" w:ascii="仿宋" w:hAnsi="仿宋" w:eastAsia="仿宋" w:cs="仿宋"/>
          <w:sz w:val="32"/>
          <w:szCs w:val="32"/>
        </w:rPr>
        <w:t>，全省已有</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家中省直医院</w:t>
      </w:r>
      <w:r>
        <w:rPr>
          <w:rFonts w:hint="eastAsia" w:ascii="仿宋" w:hAnsi="仿宋" w:eastAsia="仿宋" w:cs="仿宋"/>
          <w:color w:val="auto"/>
          <w:sz w:val="32"/>
          <w:szCs w:val="32"/>
          <w:lang w:eastAsia="zh-CN"/>
        </w:rPr>
        <w:t>、</w:t>
      </w:r>
      <w:r>
        <w:rPr>
          <w:rFonts w:hint="eastAsia" w:ascii="Arial" w:hAnsi="Arial" w:eastAsia="仿宋" w:cs="Arial"/>
          <w:color w:val="auto"/>
          <w:sz w:val="32"/>
          <w:szCs w:val="32"/>
          <w:lang w:val="en-US" w:eastAsia="zh-CN"/>
        </w:rPr>
        <w:t>3</w:t>
      </w:r>
      <w:r>
        <w:rPr>
          <w:rFonts w:hint="eastAsia" w:ascii="仿宋" w:hAnsi="仿宋" w:eastAsia="仿宋" w:cs="仿宋"/>
          <w:color w:val="auto"/>
          <w:sz w:val="32"/>
          <w:szCs w:val="32"/>
          <w:lang w:val="en-US" w:eastAsia="zh-CN"/>
        </w:rPr>
        <w:t>个卫生健康业务系统</w:t>
      </w:r>
      <w:r>
        <w:rPr>
          <w:rFonts w:hint="eastAsia" w:ascii="仿宋" w:hAnsi="仿宋" w:eastAsia="仿宋" w:cs="仿宋"/>
          <w:color w:val="auto"/>
          <w:sz w:val="32"/>
          <w:szCs w:val="32"/>
        </w:rPr>
        <w:t>实现与省</w:t>
      </w:r>
      <w:r>
        <w:rPr>
          <w:rFonts w:hint="eastAsia" w:ascii="仿宋" w:hAnsi="仿宋" w:eastAsia="仿宋" w:cs="仿宋"/>
          <w:color w:val="auto"/>
          <w:sz w:val="32"/>
          <w:szCs w:val="32"/>
          <w:lang w:eastAsia="zh-CN"/>
        </w:rPr>
        <w:t>全民健康信息</w:t>
      </w:r>
      <w:r>
        <w:rPr>
          <w:rFonts w:hint="eastAsia" w:ascii="仿宋" w:hAnsi="仿宋" w:eastAsia="仿宋" w:cs="仿宋"/>
          <w:color w:val="auto"/>
          <w:sz w:val="32"/>
          <w:szCs w:val="32"/>
        </w:rPr>
        <w:t>平台网络联通，其中</w:t>
      </w:r>
      <w:r>
        <w:rPr>
          <w:rFonts w:hint="eastAsia" w:ascii="Arial" w:hAnsi="Arial" w:eastAsia="仿宋" w:cs="Arial"/>
          <w:color w:val="auto"/>
          <w:sz w:val="32"/>
          <w:szCs w:val="32"/>
          <w:lang w:val="en-US" w:eastAsia="zh-CN"/>
        </w:rPr>
        <w:t>11</w:t>
      </w:r>
      <w:r>
        <w:rPr>
          <w:rFonts w:hint="eastAsia" w:ascii="仿宋" w:hAnsi="仿宋" w:eastAsia="仿宋" w:cs="仿宋"/>
          <w:color w:val="auto"/>
          <w:sz w:val="32"/>
          <w:szCs w:val="32"/>
        </w:rPr>
        <w:t>家</w:t>
      </w:r>
      <w:r>
        <w:rPr>
          <w:rFonts w:hint="eastAsia" w:ascii="仿宋" w:hAnsi="仿宋" w:eastAsia="仿宋" w:cs="仿宋"/>
          <w:sz w:val="32"/>
          <w:szCs w:val="32"/>
        </w:rPr>
        <w:t>医院实现部分电子病历类存量数据上传至省平台</w:t>
      </w:r>
      <w:r>
        <w:rPr>
          <w:rFonts w:hint="eastAsia" w:ascii="仿宋" w:hAnsi="仿宋" w:eastAsia="仿宋" w:cs="仿宋"/>
          <w:sz w:val="32"/>
          <w:szCs w:val="32"/>
          <w:lang w:val="en-US" w:eastAsia="zh-CN"/>
        </w:rPr>
        <w:t>,</w:t>
      </w:r>
      <w:r>
        <w:rPr>
          <w:rFonts w:hint="eastAsia" w:ascii="Arial" w:hAnsi="Arial" w:eastAsia="仿宋" w:cs="Arial"/>
          <w:color w:val="auto"/>
          <w:sz w:val="32"/>
          <w:szCs w:val="32"/>
          <w:lang w:val="en-US" w:eastAsia="zh-CN"/>
        </w:rPr>
        <w:t>9</w:t>
      </w:r>
      <w:r>
        <w:rPr>
          <w:rFonts w:hint="eastAsia" w:ascii="仿宋" w:hAnsi="仿宋" w:eastAsia="仿宋" w:cs="仿宋"/>
          <w:color w:val="auto"/>
          <w:sz w:val="32"/>
          <w:szCs w:val="32"/>
        </w:rPr>
        <w:t>家</w:t>
      </w:r>
      <w:r>
        <w:rPr>
          <w:rFonts w:hint="eastAsia" w:ascii="仿宋" w:hAnsi="仿宋" w:eastAsia="仿宋" w:cs="仿宋"/>
          <w:sz w:val="32"/>
          <w:szCs w:val="32"/>
        </w:rPr>
        <w:t>医院</w:t>
      </w:r>
      <w:r>
        <w:rPr>
          <w:rFonts w:hint="eastAsia" w:ascii="仿宋" w:hAnsi="仿宋" w:eastAsia="仿宋" w:cs="仿宋"/>
          <w:sz w:val="32"/>
          <w:szCs w:val="32"/>
          <w:lang w:eastAsia="zh-CN"/>
        </w:rPr>
        <w:t>完成上传存量数据分析。</w:t>
      </w:r>
    </w:p>
    <w:p>
      <w:pPr>
        <w:spacing w:line="0" w:lineRule="atLeast"/>
        <w:rPr>
          <w:rFonts w:ascii="仿宋" w:hAnsi="仿宋" w:eastAsia="仿宋"/>
        </w:rPr>
      </w:pPr>
    </w:p>
    <w:tbl>
      <w:tblPr>
        <w:tblStyle w:val="7"/>
        <w:tblW w:w="8823"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791"/>
        <w:gridCol w:w="3923"/>
        <w:gridCol w:w="1336"/>
        <w:gridCol w:w="1384"/>
        <w:gridCol w:w="1389"/>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8" w:hRule="atLeast"/>
          <w:tblHeader/>
          <w:jc w:val="center"/>
        </w:trPr>
        <w:tc>
          <w:tcPr>
            <w:tcW w:w="791"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序号</w:t>
            </w:r>
          </w:p>
        </w:tc>
        <w:tc>
          <w:tcPr>
            <w:tcW w:w="3923" w:type="dxa"/>
            <w:vAlign w:val="center"/>
          </w:tcPr>
          <w:p>
            <w:pPr>
              <w:spacing w:line="0" w:lineRule="atLeast"/>
              <w:jc w:val="center"/>
              <w:rPr>
                <w:rFonts w:hint="default"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val="en-US" w:eastAsia="zh-CN"/>
                <w14:textFill>
                  <w14:solidFill>
                    <w14:schemeClr w14:val="tx1">
                      <w14:lumMod w14:val="85000"/>
                      <w14:lumOff w14:val="15000"/>
                    </w14:schemeClr>
                  </w14:solidFill>
                </w14:textFill>
              </w:rPr>
              <w:t xml:space="preserve"> 名称</w:t>
            </w:r>
          </w:p>
        </w:tc>
        <w:tc>
          <w:tcPr>
            <w:tcW w:w="1336"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3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数据上传</w:t>
            </w:r>
          </w:p>
        </w:tc>
        <w:tc>
          <w:tcPr>
            <w:tcW w:w="1389"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分析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8823" w:type="dxa"/>
            <w:gridSpan w:val="5"/>
            <w:vAlign w:val="center"/>
          </w:tcPr>
          <w:p>
            <w:pPr>
              <w:spacing w:line="0" w:lineRule="atLeast"/>
              <w:jc w:val="left"/>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医疗机构</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吉林大学中日联谊医院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rPr>
              <w:t>吉林大学口腔医院</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3</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省人民医院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4</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省中医药科学院第一临床医院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5</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省妇幼保健院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6</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省脑科医院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7</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省结核病医院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8</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省职业病防治院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9</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省肿瘤医院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10</w:t>
            </w:r>
          </w:p>
        </w:tc>
        <w:tc>
          <w:tcPr>
            <w:tcW w:w="3923"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省前卫医院</w:t>
            </w:r>
          </w:p>
        </w:tc>
        <w:tc>
          <w:tcPr>
            <w:tcW w:w="1336"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省一汽总医院</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389"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完成</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434" w:type="dxa"/>
            <w:gridSpan w:val="4"/>
            <w:vAlign w:val="center"/>
          </w:tcPr>
          <w:p>
            <w:pPr>
              <w:spacing w:line="0" w:lineRule="atLeast"/>
              <w:jc w:val="both"/>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华文楷体" w:hAnsi="华文楷体" w:eastAsia="华文楷体" w:cs="华文楷体"/>
                <w:sz w:val="28"/>
                <w:szCs w:val="28"/>
                <w:lang w:val="en-US" w:eastAsia="zh-CN"/>
              </w:rPr>
              <w:t>业务系统</w:t>
            </w:r>
          </w:p>
        </w:tc>
        <w:tc>
          <w:tcPr>
            <w:tcW w:w="1389" w:type="dxa"/>
            <w:vAlign w:val="center"/>
          </w:tcPr>
          <w:p>
            <w:pPr>
              <w:spacing w:line="0" w:lineRule="atLeast"/>
              <w:jc w:val="both"/>
              <w:rPr>
                <w:rFonts w:hint="eastAsia" w:ascii="华文楷体" w:hAnsi="华文楷体" w:eastAsia="华文楷体" w:cs="华文楷体"/>
                <w:sz w:val="28"/>
                <w:szCs w:val="28"/>
                <w:lang w:val="en-US"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w:t>
            </w:r>
          </w:p>
        </w:tc>
        <w:tc>
          <w:tcPr>
            <w:tcW w:w="3923"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人口宏观管理与决策信息系统</w:t>
            </w:r>
          </w:p>
        </w:tc>
        <w:tc>
          <w:tcPr>
            <w:tcW w:w="1336"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已联通</w:t>
            </w:r>
          </w:p>
        </w:tc>
        <w:tc>
          <w:tcPr>
            <w:tcW w:w="1384"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r>
              <w:rPr>
                <w:rFonts w:hint="eastAsia" w:ascii="宋体" w:hAnsi="宋体" w:eastAsia="宋体" w:cs="宋体"/>
                <w:color w:val="auto"/>
                <w:sz w:val="28"/>
                <w:szCs w:val="28"/>
                <w:lang w:eastAsia="zh-CN"/>
              </w:rPr>
              <w:t>拷贝实现</w:t>
            </w:r>
          </w:p>
        </w:tc>
        <w:tc>
          <w:tcPr>
            <w:tcW w:w="1389" w:type="dxa"/>
            <w:vAlign w:val="center"/>
          </w:tcPr>
          <w:p>
            <w:pPr>
              <w:spacing w:line="0" w:lineRule="atLeast"/>
              <w:jc w:val="center"/>
              <w:rPr>
                <w:rFonts w:hint="eastAsia" w:ascii="宋体" w:hAnsi="宋体" w:eastAsia="宋体" w:cs="宋体"/>
                <w:color w:val="auto"/>
                <w:sz w:val="28"/>
                <w:szCs w:val="28"/>
                <w:lang w:eastAsia="zh-CN"/>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出生医学证明管理系统</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54" w:hRule="atLeast"/>
          <w:jc w:val="center"/>
        </w:trPr>
        <w:tc>
          <w:tcPr>
            <w:tcW w:w="791"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p>
        </w:tc>
        <w:tc>
          <w:tcPr>
            <w:tcW w:w="3923" w:type="dxa"/>
            <w:vAlign w:val="center"/>
          </w:tcPr>
          <w:p>
            <w:pPr>
              <w:spacing w:line="0" w:lineRule="atLeast"/>
              <w:jc w:val="left"/>
              <w:rPr>
                <w:rFonts w:hint="eastAsia" w:ascii="宋体" w:hAnsi="宋体" w:eastAsia="宋体" w:cs="宋体"/>
                <w:kern w:val="2"/>
                <w:sz w:val="28"/>
                <w:szCs w:val="28"/>
                <w:lang w:val="en-US" w:eastAsia="zh-CN" w:bidi="ar-SA"/>
              </w:rPr>
            </w:pPr>
            <w:r>
              <w:rPr>
                <w:rFonts w:hint="eastAsia" w:ascii="宋体" w:hAnsi="宋体" w:eastAsia="宋体" w:cs="宋体"/>
                <w:sz w:val="28"/>
                <w:szCs w:val="28"/>
                <w:lang w:eastAsia="zh-CN"/>
              </w:rPr>
              <w:t>居民健康卡省级管理平台</w:t>
            </w:r>
          </w:p>
        </w:tc>
        <w:tc>
          <w:tcPr>
            <w:tcW w:w="1336"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384" w:type="dxa"/>
            <w:vAlign w:val="center"/>
          </w:tcPr>
          <w:p>
            <w:pPr>
              <w:spacing w:line="0" w:lineRule="atLeast"/>
              <w:jc w:val="center"/>
              <w:rPr>
                <w:rFonts w:hint="eastAsia" w:ascii="宋体" w:hAnsi="宋体" w:eastAsia="宋体" w:cs="宋体"/>
                <w:color w:val="595959" w:themeColor="text1" w:themeTint="A6"/>
                <w:kern w:val="2"/>
                <w:sz w:val="28"/>
                <w:szCs w:val="28"/>
                <w:lang w:val="en-US" w:eastAsia="zh-CN" w:bidi="ar-SA"/>
                <w14:textFill>
                  <w14:solidFill>
                    <w14:schemeClr w14:val="tx1">
                      <w14:lumMod w14:val="65000"/>
                      <w14:lumOff w14:val="35000"/>
                    </w14:schemeClr>
                  </w14:solidFill>
                </w14:textFill>
              </w:rPr>
            </w:pPr>
            <w: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t>待实现</w:t>
            </w:r>
          </w:p>
        </w:tc>
        <w:tc>
          <w:tcPr>
            <w:tcW w:w="1389" w:type="dxa"/>
            <w:vAlign w:val="center"/>
          </w:tcPr>
          <w:p>
            <w:pPr>
              <w:spacing w:line="0" w:lineRule="atLeast"/>
              <w:jc w:val="center"/>
              <w:rPr>
                <w:rFonts w:hint="eastAsia" w:ascii="宋体" w:hAnsi="宋体" w:eastAsia="宋体" w:cs="宋体"/>
                <w:color w:val="595959" w:themeColor="text1" w:themeTint="A6"/>
                <w:sz w:val="28"/>
                <w:szCs w:val="28"/>
                <w:lang w:eastAsia="zh-CN"/>
                <w14:textFill>
                  <w14:solidFill>
                    <w14:schemeClr w14:val="tx1">
                      <w14:lumMod w14:val="65000"/>
                      <w14:lumOff w14:val="35000"/>
                    </w14:schemeClr>
                  </w14:solidFill>
                </w14:textFill>
              </w:rPr>
            </w:pPr>
          </w:p>
        </w:tc>
      </w:tr>
    </w:tbl>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444500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35pt;height:0pt;width:416.65pt;z-index:251663360;mso-width-relative:page;mso-height-relative:page;" filled="f" stroked="t" coordsize="21600,21600" o:gfxdata="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bxSoXWAAAABw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方正准圆_GBK">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61C2B"/>
    <w:rsid w:val="00173F2D"/>
    <w:rsid w:val="00183526"/>
    <w:rsid w:val="00202C4A"/>
    <w:rsid w:val="002120DF"/>
    <w:rsid w:val="00220E2A"/>
    <w:rsid w:val="00230A23"/>
    <w:rsid w:val="00235D52"/>
    <w:rsid w:val="0025135C"/>
    <w:rsid w:val="0026023C"/>
    <w:rsid w:val="00293959"/>
    <w:rsid w:val="002A649A"/>
    <w:rsid w:val="002C12B6"/>
    <w:rsid w:val="003316E7"/>
    <w:rsid w:val="00337AAD"/>
    <w:rsid w:val="00341AF0"/>
    <w:rsid w:val="003C11E2"/>
    <w:rsid w:val="003C4DCF"/>
    <w:rsid w:val="003F073E"/>
    <w:rsid w:val="003F5665"/>
    <w:rsid w:val="00416387"/>
    <w:rsid w:val="00421FBC"/>
    <w:rsid w:val="00444467"/>
    <w:rsid w:val="00486CA7"/>
    <w:rsid w:val="004D2F6F"/>
    <w:rsid w:val="0051244F"/>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D57F3"/>
    <w:rsid w:val="006E29A6"/>
    <w:rsid w:val="0070280E"/>
    <w:rsid w:val="0070693A"/>
    <w:rsid w:val="00711E7A"/>
    <w:rsid w:val="007204F4"/>
    <w:rsid w:val="00735C20"/>
    <w:rsid w:val="00743A0B"/>
    <w:rsid w:val="007E2CE9"/>
    <w:rsid w:val="007F59CD"/>
    <w:rsid w:val="00826FF0"/>
    <w:rsid w:val="008327D7"/>
    <w:rsid w:val="00842E10"/>
    <w:rsid w:val="0084322D"/>
    <w:rsid w:val="00843744"/>
    <w:rsid w:val="008618B8"/>
    <w:rsid w:val="00896D46"/>
    <w:rsid w:val="008B624B"/>
    <w:rsid w:val="008D12DE"/>
    <w:rsid w:val="009000CB"/>
    <w:rsid w:val="0095520B"/>
    <w:rsid w:val="009579FA"/>
    <w:rsid w:val="009A2FA3"/>
    <w:rsid w:val="009C4A30"/>
    <w:rsid w:val="009D48CD"/>
    <w:rsid w:val="009E547A"/>
    <w:rsid w:val="00A12189"/>
    <w:rsid w:val="00A236E9"/>
    <w:rsid w:val="00A7029C"/>
    <w:rsid w:val="00AB3CBE"/>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35456"/>
    <w:rsid w:val="00F544E0"/>
    <w:rsid w:val="00F7047D"/>
    <w:rsid w:val="00F81B35"/>
    <w:rsid w:val="00FB211B"/>
    <w:rsid w:val="00FF5380"/>
    <w:rsid w:val="020374AD"/>
    <w:rsid w:val="0211603F"/>
    <w:rsid w:val="0235347C"/>
    <w:rsid w:val="02F60CEC"/>
    <w:rsid w:val="043474B6"/>
    <w:rsid w:val="04640DA9"/>
    <w:rsid w:val="04F659C8"/>
    <w:rsid w:val="07756076"/>
    <w:rsid w:val="083F68FA"/>
    <w:rsid w:val="08C656C4"/>
    <w:rsid w:val="09756140"/>
    <w:rsid w:val="0D040E0D"/>
    <w:rsid w:val="0D411F4A"/>
    <w:rsid w:val="0D4A4FDA"/>
    <w:rsid w:val="101D5D4A"/>
    <w:rsid w:val="10984FBD"/>
    <w:rsid w:val="10D2454F"/>
    <w:rsid w:val="10F56246"/>
    <w:rsid w:val="116077AC"/>
    <w:rsid w:val="11D93E81"/>
    <w:rsid w:val="122E2EB4"/>
    <w:rsid w:val="1370552D"/>
    <w:rsid w:val="13A01A49"/>
    <w:rsid w:val="13D5605E"/>
    <w:rsid w:val="150B252A"/>
    <w:rsid w:val="15720187"/>
    <w:rsid w:val="164359EB"/>
    <w:rsid w:val="166B38D8"/>
    <w:rsid w:val="19CF3433"/>
    <w:rsid w:val="1A7E4706"/>
    <w:rsid w:val="1B1421C8"/>
    <w:rsid w:val="1C337241"/>
    <w:rsid w:val="1C4C24C0"/>
    <w:rsid w:val="1CCB0519"/>
    <w:rsid w:val="1D5471AE"/>
    <w:rsid w:val="1E4E03E1"/>
    <w:rsid w:val="1E685190"/>
    <w:rsid w:val="1EA96CDC"/>
    <w:rsid w:val="1ED92565"/>
    <w:rsid w:val="1EDB54D3"/>
    <w:rsid w:val="1EE94ADC"/>
    <w:rsid w:val="20120CE0"/>
    <w:rsid w:val="20EA5298"/>
    <w:rsid w:val="22E57A8F"/>
    <w:rsid w:val="24AA65E1"/>
    <w:rsid w:val="24FB1F9B"/>
    <w:rsid w:val="254421F7"/>
    <w:rsid w:val="26212407"/>
    <w:rsid w:val="26E827A3"/>
    <w:rsid w:val="271D7FD0"/>
    <w:rsid w:val="27E552AA"/>
    <w:rsid w:val="293C2D73"/>
    <w:rsid w:val="298B1B62"/>
    <w:rsid w:val="2A2B47AB"/>
    <w:rsid w:val="2C107E06"/>
    <w:rsid w:val="2CBD330F"/>
    <w:rsid w:val="2E9F0817"/>
    <w:rsid w:val="2F575703"/>
    <w:rsid w:val="3095753C"/>
    <w:rsid w:val="31A16383"/>
    <w:rsid w:val="32DC02F4"/>
    <w:rsid w:val="32F866D4"/>
    <w:rsid w:val="32F95EB8"/>
    <w:rsid w:val="333403FD"/>
    <w:rsid w:val="33F8458B"/>
    <w:rsid w:val="348A572E"/>
    <w:rsid w:val="349B739B"/>
    <w:rsid w:val="36223773"/>
    <w:rsid w:val="3682648E"/>
    <w:rsid w:val="36A0557A"/>
    <w:rsid w:val="37C7355F"/>
    <w:rsid w:val="37CB3A6F"/>
    <w:rsid w:val="38B74BFC"/>
    <w:rsid w:val="398E7C2A"/>
    <w:rsid w:val="3D6955FD"/>
    <w:rsid w:val="3DAF62C6"/>
    <w:rsid w:val="3DF24A8E"/>
    <w:rsid w:val="3E7D6DC0"/>
    <w:rsid w:val="3EE363F4"/>
    <w:rsid w:val="3F043962"/>
    <w:rsid w:val="3FDE422D"/>
    <w:rsid w:val="3FF51C52"/>
    <w:rsid w:val="40BB7FAF"/>
    <w:rsid w:val="41887688"/>
    <w:rsid w:val="41A21C8C"/>
    <w:rsid w:val="41B96EA8"/>
    <w:rsid w:val="4210370E"/>
    <w:rsid w:val="42244122"/>
    <w:rsid w:val="428152C0"/>
    <w:rsid w:val="4490572B"/>
    <w:rsid w:val="450661E9"/>
    <w:rsid w:val="452A3374"/>
    <w:rsid w:val="45A478DF"/>
    <w:rsid w:val="45B02A6C"/>
    <w:rsid w:val="46F3686B"/>
    <w:rsid w:val="47435DC4"/>
    <w:rsid w:val="47CD11F6"/>
    <w:rsid w:val="48486A7E"/>
    <w:rsid w:val="487F6D3B"/>
    <w:rsid w:val="48A2762E"/>
    <w:rsid w:val="4939373E"/>
    <w:rsid w:val="49414CD5"/>
    <w:rsid w:val="49BA48F8"/>
    <w:rsid w:val="4D600423"/>
    <w:rsid w:val="4DE034AA"/>
    <w:rsid w:val="4E333A1C"/>
    <w:rsid w:val="4E8E4F13"/>
    <w:rsid w:val="50C03BFE"/>
    <w:rsid w:val="51E72037"/>
    <w:rsid w:val="54052798"/>
    <w:rsid w:val="55244971"/>
    <w:rsid w:val="578E287F"/>
    <w:rsid w:val="58FB638B"/>
    <w:rsid w:val="59FC1D84"/>
    <w:rsid w:val="5A2A032C"/>
    <w:rsid w:val="5A333A8B"/>
    <w:rsid w:val="5C0C009D"/>
    <w:rsid w:val="5C471909"/>
    <w:rsid w:val="5C8B5EBC"/>
    <w:rsid w:val="5D9C75A7"/>
    <w:rsid w:val="5DA93281"/>
    <w:rsid w:val="5E61511B"/>
    <w:rsid w:val="5E720DBF"/>
    <w:rsid w:val="5EB918E0"/>
    <w:rsid w:val="5EC30AD4"/>
    <w:rsid w:val="5FA76E82"/>
    <w:rsid w:val="623E7037"/>
    <w:rsid w:val="62F770BB"/>
    <w:rsid w:val="6332554B"/>
    <w:rsid w:val="64015DEE"/>
    <w:rsid w:val="64172B31"/>
    <w:rsid w:val="644E03A5"/>
    <w:rsid w:val="677E3CAC"/>
    <w:rsid w:val="683956FE"/>
    <w:rsid w:val="687445E5"/>
    <w:rsid w:val="68D979DA"/>
    <w:rsid w:val="69031FD4"/>
    <w:rsid w:val="69C867D9"/>
    <w:rsid w:val="6A262A85"/>
    <w:rsid w:val="6A267304"/>
    <w:rsid w:val="6BEF2267"/>
    <w:rsid w:val="6CE379A3"/>
    <w:rsid w:val="6E457777"/>
    <w:rsid w:val="6EB47C52"/>
    <w:rsid w:val="6F0C5ECB"/>
    <w:rsid w:val="71B54AEF"/>
    <w:rsid w:val="71F4562F"/>
    <w:rsid w:val="72000F86"/>
    <w:rsid w:val="72740BE7"/>
    <w:rsid w:val="72C06BCC"/>
    <w:rsid w:val="73060A5C"/>
    <w:rsid w:val="73F90008"/>
    <w:rsid w:val="740E4D27"/>
    <w:rsid w:val="74377BE9"/>
    <w:rsid w:val="752A3847"/>
    <w:rsid w:val="759A03A1"/>
    <w:rsid w:val="75C56720"/>
    <w:rsid w:val="760B2514"/>
    <w:rsid w:val="774B56AE"/>
    <w:rsid w:val="78482B82"/>
    <w:rsid w:val="78CE1FCB"/>
    <w:rsid w:val="79A33F04"/>
    <w:rsid w:val="79FF4318"/>
    <w:rsid w:val="7A4F27F7"/>
    <w:rsid w:val="7A855099"/>
    <w:rsid w:val="7B0F6F0C"/>
    <w:rsid w:val="7B1A6776"/>
    <w:rsid w:val="7BE25D67"/>
    <w:rsid w:val="7C3D50CF"/>
    <w:rsid w:val="7E390E97"/>
    <w:rsid w:val="7EA97FF9"/>
    <w:rsid w:val="7F004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批注框文本 Char"/>
    <w:basedOn w:val="9"/>
    <w:link w:val="2"/>
    <w:semiHidden/>
    <w:qFormat/>
    <w:uiPriority w:val="99"/>
    <w:rPr>
      <w:sz w:val="18"/>
      <w:szCs w:val="18"/>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1318</Words>
  <Characters>1399</Characters>
  <Lines>9</Lines>
  <Paragraphs>2</Paragraphs>
  <TotalTime>57</TotalTime>
  <ScaleCrop>false</ScaleCrop>
  <LinksUpToDate>false</LinksUpToDate>
  <CharactersWithSpaces>1446</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2020-05-09T08:27:00Z</cp:lastPrinted>
  <dcterms:modified xsi:type="dcterms:W3CDTF">2020-06-13T08:15:05Z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