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62626" w:themeColor="text1" w:themeTint="D9"/>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w:t>
      </w:r>
      <w:r>
        <w:rPr>
          <w:rFonts w:hint="eastAsia" w:ascii="楷体_GB2312" w:hAnsi="楷体_GB2312" w:eastAsia="楷体_GB2312" w:cs="楷体_GB2312"/>
          <w:sz w:val="32"/>
          <w:szCs w:val="24"/>
          <w:lang w:val="en-US" w:eastAsia="zh-CN"/>
        </w:rPr>
        <w:t>9</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12</w:t>
      </w:r>
      <w:r>
        <w:rPr>
          <w:rFonts w:hint="eastAsia" w:ascii="楷体_GB2312" w:hAnsi="楷体_GB2312" w:eastAsia="楷体_GB2312" w:cs="楷体_GB2312"/>
          <w:sz w:val="32"/>
          <w:szCs w:val="24"/>
        </w:rPr>
        <w:t>日-</w:t>
      </w:r>
      <w:r>
        <w:rPr>
          <w:rFonts w:hint="eastAsia" w:ascii="楷体_GB2312" w:hAnsi="楷体_GB2312" w:eastAsia="楷体_GB2312" w:cs="楷体_GB2312"/>
          <w:sz w:val="32"/>
          <w:szCs w:val="24"/>
          <w:lang w:val="en-US" w:eastAsia="zh-CN"/>
        </w:rPr>
        <w:t>9</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18</w:t>
      </w:r>
      <w:r>
        <w:rPr>
          <w:rFonts w:hint="eastAsia" w:ascii="楷体_GB2312" w:hAnsi="楷体_GB2312" w:eastAsia="楷体_GB2312" w:cs="楷体_GB2312"/>
          <w:sz w:val="32"/>
          <w:szCs w:val="24"/>
        </w:rPr>
        <w:t>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w:t>
      </w:r>
      <w:r>
        <w:rPr>
          <w:rFonts w:hint="eastAsia" w:ascii="楷体_GB2312" w:hAnsi="楷体_GB2312" w:eastAsia="楷体_GB2312" w:cs="楷体_GB2312"/>
          <w:sz w:val="32"/>
          <w:szCs w:val="24"/>
          <w:lang w:val="en-US" w:eastAsia="zh-CN"/>
        </w:rPr>
        <w:t>32</w:t>
      </w:r>
      <w:r>
        <w:rPr>
          <w:rFonts w:hint="eastAsia" w:ascii="楷体_GB2312" w:hAnsi="楷体_GB2312" w:eastAsia="楷体_GB2312" w:cs="楷体_GB2312"/>
          <w:sz w:val="32"/>
          <w:szCs w:val="24"/>
        </w:rPr>
        <w:t>期 总第</w:t>
      </w:r>
      <w:r>
        <w:rPr>
          <w:rFonts w:hint="eastAsia" w:ascii="楷体_GB2312" w:hAnsi="楷体_GB2312" w:eastAsia="楷体_GB2312" w:cs="楷体_GB2312"/>
          <w:sz w:val="32"/>
          <w:szCs w:val="24"/>
          <w:lang w:val="en-US" w:eastAsia="zh-CN"/>
        </w:rPr>
        <w:t>39</w:t>
      </w:r>
      <w:r>
        <w:rPr>
          <w:rFonts w:hint="eastAsia" w:ascii="楷体_GB2312" w:hAnsi="楷体_GB2312" w:eastAsia="楷体_GB2312" w:cs="楷体_GB2312"/>
          <w:sz w:val="32"/>
          <w:szCs w:val="24"/>
        </w:rPr>
        <w:t>期</w:t>
      </w:r>
    </w:p>
    <w:p>
      <w:pPr>
        <w:rPr>
          <w:rFonts w:ascii="仿宋" w:hAnsi="仿宋" w:eastAsia="仿宋"/>
        </w:rPr>
      </w:pPr>
      <w:r>
        <w:rPr>
          <w:rFonts w:hint="eastAsia" w:ascii="黑体" w:hAnsi="黑体" w:eastAsia="黑体"/>
          <w:color w:val="262626" w:themeColor="text1" w:themeTint="D9"/>
          <w:sz w:val="28"/>
          <w14:textFill>
            <w14:solidFill>
              <w14:schemeClr w14:val="tx1">
                <w14:lumMod w14:val="85000"/>
                <w14:lumOff w14:val="15000"/>
              </w14:schemeClr>
            </w14:solidFill>
          </w14:textFill>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0</wp:posOffset>
                </wp:positionV>
                <wp:extent cx="529209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92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0pt;height:0pt;width:416.7pt;z-index:251665408;mso-width-relative:page;mso-height-relative:page;" filled="f"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okel0QAAAAIBAAAPAAAAAAAAAAEAIAAAACIAAABkcnMvZG93bnJldi54bWxQSwECFAAU&#10;AAAACACHTuJA94+00L8BAABMAwAADgAAAAAAAAABACAAAAAgAQAAZHJzL2Uyb0RvYy54bWxQSwUG&#10;AAAAAAYABgBZAQAAUQUAAAAA&#10;">
                <v:fill on="f" focussize="0,0"/>
                <v:stroke color="#FF0000 [3204]" joinstyle="round"/>
                <v:imagedata o:title=""/>
                <o:lock v:ext="edit" aspectratio="f"/>
              </v:line>
            </w:pict>
          </mc:Fallback>
        </mc:AlternateContent>
      </w:r>
      <w:r>
        <w:rPr>
          <w:rFonts w:hint="eastAsia" w:ascii="黑体" w:hAnsi="黑体" w:eastAsia="黑体"/>
          <w:color w:val="262626" w:themeColor="text1" w:themeTint="D9"/>
          <w:sz w:val="28"/>
          <w14:textFill>
            <w14:solidFill>
              <w14:schemeClr w14:val="tx1">
                <w14:lumMod w14:val="85000"/>
                <w14:lumOff w14:val="15000"/>
              </w14:schemeClr>
            </w14:solidFill>
          </w14:textFill>
        </w:rPr>
        <w:t xml:space="preserve"> </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【重要情况】9月16日-17日</w:t>
      </w:r>
      <w:r>
        <w:rPr>
          <w:rFonts w:hint="eastAsia" w:ascii="仿宋" w:hAnsi="仿宋" w:eastAsia="仿宋" w:cs="仿宋"/>
          <w:sz w:val="32"/>
          <w:szCs w:val="32"/>
          <w:shd w:val="clear" w:color="auto" w:fill="FFFFFF"/>
        </w:rPr>
        <w:t>，省纪委信息室对</w:t>
      </w:r>
      <w:r>
        <w:rPr>
          <w:rFonts w:hint="eastAsia" w:ascii="仿宋" w:hAnsi="仿宋" w:eastAsia="仿宋" w:cs="仿宋"/>
          <w:sz w:val="32"/>
          <w:szCs w:val="32"/>
          <w:shd w:val="clear" w:color="auto" w:fill="FFFFFF"/>
          <w:lang w:eastAsia="zh-CN"/>
        </w:rPr>
        <w:t>驻委纪检组</w:t>
      </w:r>
      <w:r>
        <w:rPr>
          <w:rFonts w:hint="eastAsia" w:ascii="仿宋" w:hAnsi="仿宋" w:eastAsia="仿宋" w:cs="仿宋"/>
          <w:sz w:val="32"/>
          <w:szCs w:val="32"/>
          <w:shd w:val="clear" w:color="auto" w:fill="FFFFFF"/>
        </w:rPr>
        <w:t>J网</w:t>
      </w:r>
      <w:r>
        <w:rPr>
          <w:rFonts w:hint="eastAsia" w:ascii="仿宋" w:hAnsi="仿宋" w:eastAsia="仿宋" w:cs="仿宋"/>
          <w:sz w:val="32"/>
          <w:szCs w:val="32"/>
          <w:shd w:val="clear" w:color="auto" w:fill="FFFFFF"/>
          <w:lang w:eastAsia="zh-CN"/>
        </w:rPr>
        <w:t>建设项目</w:t>
      </w:r>
      <w:r>
        <w:rPr>
          <w:rFonts w:hint="eastAsia" w:ascii="仿宋" w:hAnsi="仿宋" w:eastAsia="仿宋" w:cs="仿宋"/>
          <w:sz w:val="32"/>
          <w:szCs w:val="32"/>
          <w:shd w:val="clear" w:color="auto" w:fill="FFFFFF"/>
        </w:rPr>
        <w:t>终端防护</w:t>
      </w:r>
      <w:r>
        <w:rPr>
          <w:rFonts w:hint="eastAsia" w:ascii="仿宋" w:hAnsi="仿宋" w:eastAsia="仿宋" w:cs="仿宋"/>
          <w:sz w:val="32"/>
          <w:szCs w:val="32"/>
          <w:shd w:val="clear" w:color="auto" w:fill="FFFFFF"/>
          <w:lang w:eastAsia="zh-CN"/>
        </w:rPr>
        <w:t>及联通测试进行巡检并对检查情况进行通报，省卫生健康委位列第一批“全部合格”名单。</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9</w:t>
      </w:r>
      <w:r>
        <w:rPr>
          <w:rFonts w:hint="eastAsia" w:ascii="黑体" w:hAnsi="黑体" w:eastAsia="黑体" w:cs="黑体"/>
          <w:sz w:val="32"/>
          <w:szCs w:val="32"/>
          <w:shd w:val="clear" w:color="auto" w:fill="FFFFFF"/>
        </w:rPr>
        <w:t>月</w:t>
      </w:r>
      <w:r>
        <w:rPr>
          <w:rFonts w:hint="eastAsia" w:ascii="黑体" w:hAnsi="黑体" w:eastAsia="黑体" w:cs="黑体"/>
          <w:sz w:val="32"/>
          <w:szCs w:val="32"/>
          <w:shd w:val="clear" w:color="auto" w:fill="FFFFFF"/>
          <w:lang w:val="en-US" w:eastAsia="zh-CN"/>
        </w:rPr>
        <w:t>14</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中心党支部召开全体党员大会，传达学习习近平总书记在中央政治局第二十次集体学习时的重要讲话——《充分认识颁布实施民法典重大意义</w:t>
      </w:r>
      <w:r>
        <w:rPr>
          <w:rFonts w:hint="eastAsia" w:ascii="仿宋" w:hAnsi="仿宋" w:eastAsia="仿宋" w:cs="仿宋"/>
          <w:sz w:val="32"/>
          <w:szCs w:val="32"/>
          <w:shd w:val="clear" w:color="auto" w:fill="FFFFFF"/>
          <w:lang w:val="en-US" w:eastAsia="zh-CN"/>
        </w:rPr>
        <w:t xml:space="preserve"> 依法更好保障人民合法权益</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lang w:eastAsia="zh-CN"/>
        </w:rPr>
        <w:t>深入学习习近平总书记在全国抗击新冠肺炎疫情表彰大会上的讲话精神。</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中心组织开展网络安全周宣传活动。学习《贯彻落实网络安全等级保护制度和关键信息基础设施安全保护制度的指导意见》，利用宣传条幅、LED电子显示屏宣传网络安全</w:t>
      </w:r>
      <w:r>
        <w:rPr>
          <w:rFonts w:hint="eastAsia" w:ascii="仿宋" w:hAnsi="仿宋" w:eastAsia="仿宋" w:cs="仿宋"/>
          <w:sz w:val="32"/>
          <w:szCs w:val="32"/>
          <w:shd w:val="clear" w:color="auto" w:fill="FFFFFF"/>
          <w:lang w:val="en-US" w:eastAsia="zh-CN"/>
        </w:rPr>
        <w:t>标语</w:t>
      </w:r>
      <w:r>
        <w:rPr>
          <w:rFonts w:hint="eastAsia" w:ascii="仿宋" w:hAnsi="仿宋" w:eastAsia="仿宋" w:cs="仿宋"/>
          <w:sz w:val="32"/>
          <w:szCs w:val="32"/>
          <w:shd w:val="clear" w:color="auto" w:fill="FFFFFF"/>
          <w:lang w:eastAsia="zh-CN"/>
        </w:rPr>
        <w:t>，组织相关人员线上观看学习网络安全知识。</w:t>
      </w:r>
    </w:p>
    <w:p>
      <w:pPr>
        <w:rPr>
          <w:rFonts w:ascii="仿宋" w:hAnsi="仿宋" w:eastAsia="仿宋"/>
        </w:rPr>
      </w:pP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召开主任办公会议。审议吉林省全民健康信息平台项目需求规格说明书、吉林省全民健康信息平台标准专家论证会、法律顾问费用，听取互联网医院前期工作情况及下一步工作计划、直报系统密码测评整改方案论证会情况汇报。</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9月15</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，中心完成吉林省国家卫生统计信息网络直报系统与</w:t>
      </w:r>
      <w:r>
        <w:rPr>
          <w:rFonts w:hint="eastAsia" w:ascii="仿宋" w:hAnsi="仿宋" w:eastAsia="仿宋" w:cs="仿宋"/>
          <w:sz w:val="32"/>
          <w:szCs w:val="32"/>
          <w:shd w:val="clear" w:color="auto" w:fill="FFFFFF"/>
          <w:lang w:eastAsia="zh-CN"/>
        </w:rPr>
        <w:t>省</w:t>
      </w:r>
      <w:r>
        <w:rPr>
          <w:rFonts w:hint="eastAsia" w:ascii="仿宋" w:hAnsi="仿宋" w:eastAsia="仿宋" w:cs="仿宋"/>
          <w:sz w:val="32"/>
          <w:szCs w:val="32"/>
          <w:shd w:val="clear" w:color="auto" w:fill="FFFFFF"/>
        </w:rPr>
        <w:t>全民健康信息平台接口对接工作</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中心完成委机关办公楼电子政务外网布线工作</w:t>
      </w:r>
      <w:r>
        <w:rPr>
          <w:rFonts w:hint="eastAsia" w:ascii="仿宋" w:hAnsi="仿宋" w:eastAsia="仿宋" w:cs="仿宋"/>
          <w:sz w:val="32"/>
          <w:szCs w:val="32"/>
          <w:shd w:val="clear" w:color="auto" w:fill="FFFFFF"/>
        </w:rPr>
        <w:t>。</w:t>
      </w:r>
    </w:p>
    <w:p>
      <w:pPr>
        <w:rPr>
          <w:rFonts w:ascii="仿宋" w:hAnsi="仿宋" w:eastAsia="仿宋"/>
        </w:rPr>
      </w:pPr>
    </w:p>
    <w:p>
      <w:pPr>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中心协助委医政医管处做好“全国</w:t>
      </w:r>
      <w:r>
        <w:rPr>
          <w:rFonts w:hint="eastAsia" w:ascii="仿宋" w:hAnsi="仿宋" w:eastAsia="仿宋" w:cs="仿宋"/>
          <w:sz w:val="32"/>
          <w:szCs w:val="32"/>
          <w:shd w:val="clear" w:color="auto" w:fill="FFFFFF"/>
        </w:rPr>
        <w:t>新冠肺炎医疗救治工作视频会议</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系统调试技术保障工作</w:t>
      </w:r>
      <w:r>
        <w:rPr>
          <w:rFonts w:hint="eastAsia" w:ascii="仿宋" w:hAnsi="仿宋" w:eastAsia="仿宋" w:cs="仿宋"/>
          <w:sz w:val="32"/>
          <w:szCs w:val="32"/>
          <w:shd w:val="clear" w:color="auto" w:fill="FFFFFF"/>
          <w:lang w:eastAsia="zh-CN"/>
        </w:rPr>
        <w:t>。</w:t>
      </w:r>
    </w:p>
    <w:p>
      <w:pPr>
        <w:rPr>
          <w:rFonts w:ascii="仿宋" w:hAnsi="仿宋" w:eastAsia="仿宋"/>
        </w:rPr>
      </w:pPr>
    </w:p>
    <w:p>
      <w:pPr>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中心向委规划信息处提供全省医疗卫生机构分类情况相关数据；</w:t>
      </w:r>
      <w:r>
        <w:rPr>
          <w:rFonts w:hint="eastAsia" w:ascii="仿宋" w:hAnsi="仿宋" w:eastAsia="仿宋" w:cs="仿宋"/>
          <w:sz w:val="32"/>
          <w:szCs w:val="32"/>
          <w:shd w:val="clear" w:color="auto" w:fill="FFFFFF"/>
        </w:rPr>
        <w:t>向省中医药管理局医政处提供全省中医药服务资源相关数据</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9月14日-16日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对国药集团互联网医院测试数据进行质量校验。</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9月17日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中心参加全国</w:t>
      </w:r>
      <w:r>
        <w:rPr>
          <w:rFonts w:hint="eastAsia" w:ascii="仿宋" w:hAnsi="仿宋" w:eastAsia="仿宋" w:cs="仿宋"/>
          <w:sz w:val="32"/>
          <w:szCs w:val="32"/>
          <w:shd w:val="clear" w:color="auto" w:fill="FFFFFF"/>
        </w:rPr>
        <w:t>卫生健康规划信息工作电视电话会议。</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省政数局对委机关</w:t>
      </w:r>
      <w:r>
        <w:rPr>
          <w:rFonts w:hint="eastAsia" w:ascii="仿宋" w:hAnsi="仿宋" w:eastAsia="仿宋" w:cs="仿宋"/>
          <w:sz w:val="32"/>
          <w:szCs w:val="32"/>
          <w:shd w:val="clear" w:color="auto" w:fill="FFFFFF"/>
        </w:rPr>
        <w:t>省政府专网等级化保护安全</w:t>
      </w:r>
      <w:r>
        <w:rPr>
          <w:rFonts w:hint="eastAsia" w:ascii="仿宋" w:hAnsi="仿宋" w:eastAsia="仿宋" w:cs="仿宋"/>
          <w:sz w:val="32"/>
          <w:szCs w:val="32"/>
          <w:shd w:val="clear" w:color="auto" w:fill="FFFFFF"/>
          <w:lang w:eastAsia="zh-CN"/>
        </w:rPr>
        <w:t>进行</w:t>
      </w:r>
      <w:r>
        <w:rPr>
          <w:rFonts w:hint="eastAsia" w:ascii="仿宋" w:hAnsi="仿宋" w:eastAsia="仿宋" w:cs="仿宋"/>
          <w:sz w:val="32"/>
          <w:szCs w:val="32"/>
          <w:shd w:val="clear" w:color="auto" w:fill="FFFFFF"/>
        </w:rPr>
        <w:t>评估</w:t>
      </w:r>
      <w:r>
        <w:rPr>
          <w:rFonts w:hint="eastAsia" w:ascii="仿宋" w:hAnsi="仿宋" w:eastAsia="仿宋" w:cs="仿宋"/>
          <w:sz w:val="32"/>
          <w:szCs w:val="32"/>
          <w:shd w:val="clear" w:color="auto" w:fill="FFFFFF"/>
          <w:lang w:eastAsia="zh-CN"/>
        </w:rPr>
        <w:t>巡检，中心做好相关迎检工作</w:t>
      </w:r>
      <w:r>
        <w:rPr>
          <w:rFonts w:hint="eastAsia" w:ascii="仿宋" w:hAnsi="仿宋" w:eastAsia="仿宋" w:cs="仿宋"/>
          <w:sz w:val="32"/>
          <w:szCs w:val="32"/>
          <w:shd w:val="clear" w:color="auto" w:fill="FFFFFF"/>
        </w:rPr>
        <w:t>。</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9月14日-17日</w:t>
      </w:r>
      <w:r>
        <w:rPr>
          <w:rFonts w:hint="eastAsia" w:ascii="仿宋" w:hAnsi="仿宋" w:eastAsia="仿宋" w:cs="仿宋"/>
          <w:sz w:val="32"/>
          <w:szCs w:val="32"/>
          <w:shd w:val="clear" w:color="auto" w:fill="FFFFFF"/>
        </w:rPr>
        <w:t>，白城微医互联网医院、长春市第二人民医院格润物联互联网医院</w:t>
      </w:r>
      <w:r>
        <w:rPr>
          <w:rFonts w:hint="eastAsia" w:ascii="仿宋" w:hAnsi="仿宋" w:eastAsia="仿宋" w:cs="仿宋"/>
          <w:sz w:val="32"/>
          <w:szCs w:val="32"/>
          <w:shd w:val="clear" w:color="auto" w:fill="FFFFFF"/>
          <w:lang w:eastAsia="zh-CN"/>
        </w:rPr>
        <w:t>与省互联网医院</w:t>
      </w:r>
      <w:r>
        <w:rPr>
          <w:rFonts w:hint="eastAsia" w:ascii="仿宋" w:hAnsi="仿宋" w:eastAsia="仿宋" w:cs="仿宋"/>
          <w:sz w:val="32"/>
          <w:szCs w:val="32"/>
          <w:shd w:val="clear" w:color="auto" w:fill="FFFFFF"/>
        </w:rPr>
        <w:t>监管平台进行测试服务数据对接。</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9月15日-17日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w:t>
      </w:r>
      <w:bookmarkStart w:id="0" w:name="_GoBack"/>
      <w:bookmarkEnd w:id="0"/>
      <w:r>
        <w:rPr>
          <w:rFonts w:hint="eastAsia" w:ascii="仿宋" w:hAnsi="仿宋" w:eastAsia="仿宋" w:cs="仿宋"/>
          <w:color w:val="auto"/>
          <w:sz w:val="32"/>
          <w:szCs w:val="32"/>
          <w:shd w:val="clear" w:color="auto" w:fill="FFFFFF"/>
          <w:lang w:eastAsia="zh-CN"/>
        </w:rPr>
        <w:t>对长春中医药大学附属消化病医院/长春单氏中医院、长春市中西医结合医院、长春恒康中医院、长春市中心医院、长春市第二人民互联网医院进行现场调研，听取互联网医院的工作进度及下一步工作计划，并根据互联网医院工作进展情况给予指导。</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shd w:val="clear" w:color="auto" w:fill="FFFFFF"/>
          <w:lang w:val="en-US" w:eastAsia="zh-CN"/>
        </w:rPr>
        <w:t>9月18</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中心参加委规划</w:t>
      </w:r>
      <w:r>
        <w:rPr>
          <w:rFonts w:hint="eastAsia" w:ascii="仿宋" w:hAnsi="仿宋" w:eastAsia="仿宋" w:cs="仿宋"/>
          <w:sz w:val="32"/>
          <w:szCs w:val="32"/>
          <w:shd w:val="clear" w:color="auto" w:fill="FFFFFF"/>
          <w:lang w:val="en-US" w:eastAsia="zh-CN"/>
        </w:rPr>
        <w:t>信息</w:t>
      </w:r>
      <w:r>
        <w:rPr>
          <w:rFonts w:hint="eastAsia" w:ascii="仿宋" w:hAnsi="仿宋" w:eastAsia="仿宋" w:cs="仿宋"/>
          <w:sz w:val="32"/>
          <w:szCs w:val="32"/>
          <w:shd w:val="clear" w:color="auto" w:fill="FFFFFF"/>
          <w:lang w:eastAsia="zh-CN"/>
        </w:rPr>
        <w:t>处组织</w:t>
      </w:r>
      <w:r>
        <w:rPr>
          <w:rFonts w:hint="eastAsia" w:ascii="仿宋" w:hAnsi="仿宋" w:eastAsia="仿宋" w:cs="仿宋"/>
          <w:sz w:val="32"/>
          <w:szCs w:val="32"/>
          <w:shd w:val="clear" w:color="auto" w:fill="FFFFFF"/>
          <w:lang w:val="en-US" w:eastAsia="zh-CN"/>
        </w:rPr>
        <w:t>召开</w:t>
      </w:r>
      <w:r>
        <w:rPr>
          <w:rFonts w:hint="eastAsia" w:ascii="仿宋" w:hAnsi="仿宋" w:eastAsia="仿宋" w:cs="仿宋"/>
          <w:sz w:val="32"/>
          <w:szCs w:val="32"/>
          <w:shd w:val="clear" w:color="auto" w:fill="FFFFFF"/>
          <w:lang w:eastAsia="zh-CN"/>
        </w:rPr>
        <w:t>的省卫生健康统计工作座谈会</w:t>
      </w:r>
      <w:r>
        <w:rPr>
          <w:rFonts w:hint="eastAsia" w:ascii="仿宋" w:hAnsi="仿宋" w:eastAsia="仿宋" w:cs="仿宋"/>
          <w:sz w:val="32"/>
          <w:szCs w:val="32"/>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rPr>
        <w:t>中心党支部组织</w:t>
      </w:r>
      <w:r>
        <w:rPr>
          <w:rFonts w:hint="eastAsia" w:ascii="仿宋" w:hAnsi="仿宋" w:eastAsia="仿宋" w:cs="仿宋"/>
          <w:sz w:val="32"/>
          <w:szCs w:val="32"/>
          <w:lang w:val="en-US" w:eastAsia="zh-CN"/>
        </w:rPr>
        <w:t>开展主题党团活动，</w:t>
      </w:r>
      <w:r>
        <w:rPr>
          <w:rFonts w:hint="eastAsia" w:ascii="仿宋" w:hAnsi="仿宋" w:eastAsia="仿宋" w:cs="仿宋"/>
          <w:sz w:val="32"/>
          <w:szCs w:val="32"/>
        </w:rPr>
        <w:t>参观长春市革命烈士纪念馆——长春市抗美援朝馆，弘扬爱国主义精神，强化红色革命教育</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中心协助委</w:t>
      </w:r>
      <w:r>
        <w:rPr>
          <w:rFonts w:hint="eastAsia" w:ascii="仿宋" w:hAnsi="仿宋" w:eastAsia="仿宋" w:cs="仿宋"/>
          <w:sz w:val="32"/>
          <w:szCs w:val="32"/>
          <w:shd w:val="clear" w:color="auto" w:fill="FFFFFF"/>
        </w:rPr>
        <w:t>基层处</w:t>
      </w:r>
      <w:r>
        <w:rPr>
          <w:rFonts w:hint="eastAsia" w:ascii="仿宋" w:hAnsi="仿宋" w:eastAsia="仿宋" w:cs="仿宋"/>
          <w:sz w:val="32"/>
          <w:szCs w:val="32"/>
          <w:shd w:val="clear" w:color="auto" w:fill="FFFFFF"/>
          <w:lang w:eastAsia="zh-CN"/>
        </w:rPr>
        <w:t>做好</w:t>
      </w:r>
      <w:r>
        <w:rPr>
          <w:rFonts w:hint="eastAsia" w:ascii="仿宋" w:hAnsi="仿宋" w:eastAsia="仿宋" w:cs="仿宋"/>
          <w:sz w:val="32"/>
          <w:szCs w:val="32"/>
          <w:shd w:val="clear" w:color="auto" w:fill="FFFFFF"/>
        </w:rPr>
        <w:t>“国家推进紧密型县域医疗卫生共同体和社区医院建设视频会议”系统调试</w:t>
      </w:r>
      <w:r>
        <w:rPr>
          <w:rFonts w:hint="eastAsia" w:ascii="仿宋" w:hAnsi="仿宋" w:eastAsia="仿宋" w:cs="仿宋"/>
          <w:sz w:val="32"/>
          <w:szCs w:val="32"/>
          <w:shd w:val="clear" w:color="auto" w:fill="FFFFFF"/>
          <w:lang w:eastAsia="zh-CN"/>
        </w:rPr>
        <w:t>技术保障</w:t>
      </w:r>
      <w:r>
        <w:rPr>
          <w:rFonts w:hint="eastAsia" w:ascii="仿宋" w:hAnsi="仿宋" w:eastAsia="仿宋" w:cs="仿宋"/>
          <w:sz w:val="32"/>
          <w:szCs w:val="32"/>
          <w:shd w:val="clear" w:color="auto" w:fill="FFFFFF"/>
        </w:rPr>
        <w:t>工作</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9月14日-18</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w:t>
      </w:r>
      <w:r>
        <w:rPr>
          <w:rFonts w:hint="eastAsia" w:ascii="仿宋" w:hAnsi="仿宋" w:eastAsia="仿宋" w:cs="仿宋"/>
          <w:sz w:val="32"/>
          <w:szCs w:val="32"/>
          <w:shd w:val="clear" w:color="auto" w:fill="FFFFFF"/>
          <w:lang w:eastAsia="zh-CN"/>
        </w:rPr>
        <w:t>完成委机关25个处室160台计算机保密检查工作。</w:t>
      </w:r>
    </w:p>
    <w:p>
      <w:pPr>
        <w:rPr>
          <w:rFonts w:ascii="仿宋" w:hAnsi="仿宋" w:eastAsia="仿宋"/>
        </w:rPr>
      </w:pPr>
    </w:p>
    <w:p>
      <w:pPr>
        <w:spacing w:line="560" w:lineRule="exact"/>
        <w:ind w:firstLine="640" w:firstLineChars="200"/>
        <w:rPr>
          <w:rFonts w:ascii="仿宋" w:hAnsi="仿宋" w:eastAsia="仿宋"/>
          <w:color w:val="auto"/>
          <w:sz w:val="32"/>
        </w:rPr>
      </w:pPr>
      <w:r>
        <w:rPr>
          <w:rFonts w:hint="eastAsia" w:ascii="仿宋" w:hAnsi="仿宋" w:eastAsia="仿宋"/>
          <w:sz w:val="32"/>
        </w:rPr>
        <w:t>1月20日-</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18</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18</w:t>
      </w:r>
      <w:r>
        <w:rPr>
          <w:rFonts w:hint="eastAsia" w:ascii="仿宋" w:hAnsi="仿宋" w:eastAsia="仿宋"/>
          <w:sz w:val="32"/>
        </w:rPr>
        <w:t>日，全省各级医疗卫生机构为居民提供线上各类健康服务累计</w:t>
      </w:r>
      <w:r>
        <w:rPr>
          <w:rFonts w:hint="eastAsia" w:ascii="Arial" w:hAnsi="Arial" w:eastAsia="Arial Unicode MS" w:cs="Arial"/>
          <w:color w:val="auto"/>
          <w:sz w:val="32"/>
        </w:rPr>
        <w:t>8880164</w:t>
      </w:r>
      <w:r>
        <w:rPr>
          <w:rFonts w:hint="eastAsia" w:ascii="仿宋" w:hAnsi="仿宋" w:eastAsia="仿宋"/>
          <w:color w:val="auto"/>
          <w:sz w:val="32"/>
        </w:rPr>
        <w:t>人次，其中“医生在线”问诊服务累计</w:t>
      </w:r>
      <w:r>
        <w:rPr>
          <w:rFonts w:hint="eastAsia" w:ascii="Arial" w:hAnsi="Arial" w:eastAsia="Arial Unicode MS" w:cs="Arial"/>
          <w:color w:val="auto"/>
          <w:sz w:val="32"/>
        </w:rPr>
        <w:t>91537</w:t>
      </w:r>
      <w:r>
        <w:rPr>
          <w:rFonts w:hint="eastAsia" w:ascii="仿宋" w:hAnsi="仿宋" w:eastAsia="仿宋"/>
          <w:color w:val="auto"/>
          <w:sz w:val="32"/>
        </w:rPr>
        <w:t>人次。</w:t>
      </w:r>
    </w:p>
    <w:p>
      <w:pPr>
        <w:spacing w:line="0" w:lineRule="atLeast"/>
        <w:rPr>
          <w:rFonts w:ascii="仿宋" w:hAnsi="仿宋" w:eastAsia="仿宋"/>
        </w:rPr>
      </w:pP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黑体"/>
          <w:sz w:val="32"/>
          <w:szCs w:val="32"/>
        </w:rPr>
        <w:t>截至</w:t>
      </w:r>
      <w:r>
        <w:rPr>
          <w:rFonts w:hint="eastAsia" w:ascii="仿宋" w:hAnsi="仿宋" w:eastAsia="仿宋" w:cs="黑体"/>
          <w:sz w:val="32"/>
          <w:szCs w:val="32"/>
          <w:lang w:val="en-US" w:eastAsia="zh-CN"/>
        </w:rPr>
        <w:t>9</w:t>
      </w:r>
      <w:r>
        <w:rPr>
          <w:rFonts w:hint="eastAsia" w:ascii="仿宋" w:hAnsi="仿宋" w:eastAsia="仿宋" w:cs="黑体"/>
          <w:sz w:val="32"/>
          <w:szCs w:val="32"/>
        </w:rPr>
        <w:t>月</w:t>
      </w:r>
      <w:r>
        <w:rPr>
          <w:rFonts w:hint="eastAsia" w:ascii="仿宋" w:hAnsi="仿宋" w:eastAsia="仿宋" w:cs="黑体"/>
          <w:sz w:val="32"/>
          <w:szCs w:val="32"/>
          <w:lang w:val="en-US" w:eastAsia="zh-CN"/>
        </w:rPr>
        <w:t>17</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color w:val="auto"/>
          <w:sz w:val="32"/>
          <w:szCs w:val="32"/>
        </w:rPr>
        <w:t>13678782</w:t>
      </w:r>
      <w:r>
        <w:rPr>
          <w:rFonts w:hint="eastAsia" w:ascii="仿宋" w:hAnsi="仿宋" w:eastAsia="仿宋" w:cs="仿宋"/>
          <w:color w:val="auto"/>
          <w:sz w:val="32"/>
          <w:szCs w:val="32"/>
        </w:rPr>
        <w:t>人用卡，</w:t>
      </w:r>
      <w:r>
        <w:rPr>
          <w:rFonts w:hint="eastAsia" w:ascii="Arial" w:hAnsi="Arial" w:eastAsia="仿宋" w:cs="Arial"/>
          <w:color w:val="auto"/>
          <w:sz w:val="32"/>
          <w:szCs w:val="32"/>
        </w:rPr>
        <w:t>36242902</w:t>
      </w:r>
      <w:r>
        <w:rPr>
          <w:rFonts w:hint="eastAsia" w:ascii="仿宋" w:hAnsi="仿宋" w:eastAsia="仿宋" w:cs="仿宋"/>
          <w:color w:val="auto"/>
          <w:sz w:val="32"/>
          <w:szCs w:val="32"/>
        </w:rPr>
        <w:t>人次用卡。</w:t>
      </w:r>
    </w:p>
    <w:p>
      <w:pPr>
        <w:spacing w:line="0" w:lineRule="atLeast"/>
        <w:rPr>
          <w:rFonts w:ascii="仿宋" w:hAnsi="仿宋" w:eastAsia="仿宋"/>
        </w:rPr>
      </w:pP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截至9月</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日，全省已有</w:t>
      </w:r>
      <w:r>
        <w:rPr>
          <w:rFonts w:hint="default" w:ascii="Arial" w:hAnsi="Arial" w:eastAsia="仿宋" w:cs="Arial"/>
          <w:color w:val="auto"/>
          <w:sz w:val="32"/>
          <w:szCs w:val="32"/>
        </w:rPr>
        <w:t>4</w:t>
      </w:r>
      <w:r>
        <w:rPr>
          <w:rFonts w:hint="eastAsia" w:ascii="仿宋" w:hAnsi="仿宋" w:eastAsia="仿宋" w:cs="仿宋"/>
          <w:color w:val="auto"/>
          <w:sz w:val="32"/>
          <w:szCs w:val="32"/>
        </w:rPr>
        <w:t>家医院获得互联网医院运营资质，省互联网医疗服务监管平台共接收网上预约挂号数据</w:t>
      </w:r>
      <w:r>
        <w:rPr>
          <w:rFonts w:hint="default" w:ascii="Arial" w:hAnsi="Arial" w:eastAsia="仿宋" w:cs="Arial"/>
          <w:color w:val="auto"/>
          <w:sz w:val="32"/>
          <w:szCs w:val="32"/>
        </w:rPr>
        <w:t>454405</w:t>
      </w:r>
      <w:r>
        <w:rPr>
          <w:rFonts w:hint="eastAsia" w:ascii="仿宋" w:hAnsi="仿宋" w:eastAsia="仿宋" w:cs="仿宋"/>
          <w:color w:val="auto"/>
          <w:sz w:val="32"/>
          <w:szCs w:val="32"/>
        </w:rPr>
        <w:t>人次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在线问诊服务数据</w:t>
      </w:r>
      <w:r>
        <w:rPr>
          <w:rFonts w:hint="default" w:ascii="Arial" w:hAnsi="Arial" w:eastAsia="仿宋" w:cs="Arial"/>
          <w:color w:val="auto"/>
          <w:sz w:val="32"/>
          <w:szCs w:val="32"/>
        </w:rPr>
        <w:t>2428</w:t>
      </w:r>
      <w:r>
        <w:rPr>
          <w:rFonts w:hint="eastAsia" w:ascii="仿宋" w:hAnsi="仿宋" w:eastAsia="仿宋" w:cs="仿宋"/>
          <w:color w:val="auto"/>
          <w:sz w:val="32"/>
          <w:szCs w:val="32"/>
        </w:rPr>
        <w:t>人次。</w:t>
      </w:r>
    </w:p>
    <w:p>
      <w:pPr>
        <w:spacing w:line="0" w:lineRule="atLeast"/>
        <w:rPr>
          <w:rFonts w:ascii="仿宋" w:hAnsi="仿宋" w:eastAsia="仿宋"/>
        </w:rPr>
      </w:pP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黑体"/>
          <w:sz w:val="32"/>
          <w:szCs w:val="32"/>
        </w:rPr>
        <w:t>截至</w:t>
      </w:r>
      <w:r>
        <w:rPr>
          <w:rFonts w:hint="eastAsia" w:ascii="仿宋" w:hAnsi="仿宋" w:eastAsia="仿宋" w:cs="黑体"/>
          <w:sz w:val="32"/>
          <w:szCs w:val="32"/>
          <w:lang w:val="en-US" w:eastAsia="zh-CN"/>
        </w:rPr>
        <w:t>9</w:t>
      </w:r>
      <w:r>
        <w:rPr>
          <w:rFonts w:hint="eastAsia" w:ascii="仿宋" w:hAnsi="仿宋" w:eastAsia="仿宋" w:cs="黑体"/>
          <w:sz w:val="32"/>
          <w:szCs w:val="32"/>
        </w:rPr>
        <w:t>月</w:t>
      </w:r>
      <w:r>
        <w:rPr>
          <w:rFonts w:hint="eastAsia" w:ascii="仿宋" w:hAnsi="仿宋" w:eastAsia="仿宋" w:cs="黑体"/>
          <w:sz w:val="32"/>
          <w:szCs w:val="32"/>
          <w:lang w:val="en-US" w:eastAsia="zh-CN"/>
        </w:rPr>
        <w:t>18</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w:t>
      </w:r>
      <w:r>
        <w:rPr>
          <w:rFonts w:hint="eastAsia" w:ascii="Arial" w:hAnsi="Arial" w:eastAsia="仿宋" w:cs="Arial"/>
          <w:sz w:val="32"/>
          <w:szCs w:val="32"/>
          <w:lang w:val="en-US" w:eastAsia="zh-CN"/>
        </w:rPr>
        <w:t>6</w:t>
      </w:r>
      <w:r>
        <w:rPr>
          <w:rFonts w:hint="eastAsia" w:ascii="仿宋" w:hAnsi="仿宋" w:eastAsia="仿宋" w:cs="仿宋"/>
          <w:sz w:val="32"/>
          <w:szCs w:val="32"/>
        </w:rPr>
        <w:t>个卫生健康业务系统实现与省全民健康信息平台网络联通。其中，</w:t>
      </w:r>
      <w:r>
        <w:rPr>
          <w:rFonts w:hint="eastAsia" w:ascii="Arial" w:hAnsi="Arial" w:eastAsia="仿宋" w:cs="Arial"/>
          <w:sz w:val="32"/>
          <w:szCs w:val="32"/>
        </w:rPr>
        <w:t>11</w:t>
      </w:r>
      <w:r>
        <w:rPr>
          <w:rFonts w:hint="eastAsia" w:ascii="仿宋" w:hAnsi="仿宋" w:eastAsia="仿宋" w:cs="仿宋"/>
          <w:sz w:val="32"/>
          <w:szCs w:val="32"/>
        </w:rPr>
        <w:t>家医院实现部分电子病历类存量数据上传至省平台，</w:t>
      </w:r>
      <w:r>
        <w:rPr>
          <w:rFonts w:hint="eastAsia" w:ascii="Arial" w:hAnsi="Arial" w:eastAsia="仿宋" w:cs="Arial"/>
          <w:sz w:val="32"/>
          <w:szCs w:val="32"/>
        </w:rPr>
        <w:t>9</w:t>
      </w:r>
      <w:r>
        <w:rPr>
          <w:rFonts w:hint="eastAsia" w:ascii="仿宋" w:hAnsi="仿宋" w:eastAsia="仿宋" w:cs="仿宋"/>
          <w:sz w:val="32"/>
          <w:szCs w:val="32"/>
        </w:rPr>
        <w:t>家医院完成上传存量数据分析</w:t>
      </w:r>
      <w:r>
        <w:rPr>
          <w:rFonts w:hint="eastAsia" w:ascii="仿宋" w:hAnsi="仿宋" w:eastAsia="仿宋" w:cs="仿宋"/>
          <w:sz w:val="32"/>
          <w:szCs w:val="32"/>
          <w:lang w:eastAsia="zh-CN"/>
        </w:rPr>
        <w:t>。</w:t>
      </w:r>
    </w:p>
    <w:p>
      <w:pPr>
        <w:spacing w:line="0" w:lineRule="atLeast"/>
        <w:rPr>
          <w:rFonts w:ascii="仿宋" w:hAnsi="仿宋" w:eastAsia="仿宋"/>
        </w:rPr>
      </w:pPr>
    </w:p>
    <w:tbl>
      <w:tblPr>
        <w:tblStyle w:val="7"/>
        <w:tblW w:w="9105"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761"/>
        <w:gridCol w:w="4235"/>
        <w:gridCol w:w="1336"/>
        <w:gridCol w:w="1384"/>
        <w:gridCol w:w="1389"/>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21" w:hRule="atLeast"/>
          <w:tblHeader/>
          <w:jc w:val="center"/>
        </w:trPr>
        <w:tc>
          <w:tcPr>
            <w:tcW w:w="761" w:type="dxa"/>
            <w:vAlign w:val="center"/>
          </w:tcPr>
          <w:p>
            <w:pPr>
              <w:tabs>
                <w:tab w:val="left" w:pos="1904"/>
              </w:tabs>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32"/>
                <w14:textFill>
                  <w14:solidFill>
                    <w14:schemeClr w14:val="tx1">
                      <w14:lumMod w14:val="85000"/>
                      <w14:lumOff w14:val="15000"/>
                    </w14:schemeClr>
                  </w14:solidFill>
                </w14:textFill>
              </w:rPr>
              <w:t>序号</w:t>
            </w:r>
          </w:p>
        </w:tc>
        <w:tc>
          <w:tcPr>
            <w:tcW w:w="4235"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 xml:space="preserve"> 名称</w:t>
            </w:r>
          </w:p>
        </w:tc>
        <w:tc>
          <w:tcPr>
            <w:tcW w:w="1336"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网络联通</w:t>
            </w:r>
          </w:p>
        </w:tc>
        <w:tc>
          <w:tcPr>
            <w:tcW w:w="1384"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数据上传</w:t>
            </w:r>
          </w:p>
        </w:tc>
        <w:tc>
          <w:tcPr>
            <w:tcW w:w="1389" w:type="dxa"/>
            <w:vAlign w:val="center"/>
          </w:tcPr>
          <w:p>
            <w:pPr>
              <w:spacing w:line="0" w:lineRule="atLeast"/>
              <w:jc w:val="center"/>
              <w:rPr>
                <w:rFonts w:ascii="黑体" w:hAnsi="黑体" w:eastAsia="黑体" w:cs="黑体"/>
                <w:color w:val="262626" w:themeColor="text1" w:themeTint="D9"/>
                <w:sz w:val="28"/>
                <w:szCs w:val="28"/>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8"/>
                <w:szCs w:val="28"/>
                <w14:textFill>
                  <w14:solidFill>
                    <w14:schemeClr w14:val="tx1">
                      <w14:lumMod w14:val="85000"/>
                      <w14:lumOff w14:val="15000"/>
                    </w14:schemeClr>
                  </w14:solidFill>
                </w14:textFill>
              </w:rPr>
              <w:t>数据分析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54" w:hRule="atLeast"/>
          <w:jc w:val="center"/>
        </w:trPr>
        <w:tc>
          <w:tcPr>
            <w:tcW w:w="9105" w:type="dxa"/>
            <w:gridSpan w:val="5"/>
            <w:vAlign w:val="center"/>
          </w:tcPr>
          <w:p>
            <w:pPr>
              <w:spacing w:line="0" w:lineRule="atLeast"/>
              <w:jc w:val="left"/>
              <w:rPr>
                <w:rFonts w:ascii="华文楷体" w:hAnsi="华文楷体" w:eastAsia="华文楷体" w:cs="华文楷体"/>
                <w:sz w:val="28"/>
                <w:szCs w:val="28"/>
              </w:rPr>
            </w:pPr>
            <w:r>
              <w:rPr>
                <w:rFonts w:hint="eastAsia" w:ascii="华文楷体" w:hAnsi="华文楷体" w:eastAsia="华文楷体" w:cs="华文楷体"/>
                <w:sz w:val="28"/>
                <w:szCs w:val="28"/>
              </w:rPr>
              <w:t>医疗机构</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吉林大学第一医院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吉林大学第一医院（二部）</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吉林大学第二医院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吉林大学中日联谊医院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吉林大学口腔医院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省人民医院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省中医药科学院第一临床医院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省妇幼保健院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省脑科医院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10</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省结核病医院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省职业病防治院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省肿瘤医院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省前卫医院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省一汽总医院</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完成</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54" w:hRule="atLeast"/>
          <w:jc w:val="center"/>
        </w:trPr>
        <w:tc>
          <w:tcPr>
            <w:tcW w:w="9105" w:type="dxa"/>
            <w:gridSpan w:val="5"/>
            <w:vAlign w:val="center"/>
          </w:tcPr>
          <w:p>
            <w:pPr>
              <w:spacing w:line="0" w:lineRule="atLeast"/>
              <w:rPr>
                <w:rFonts w:ascii="华文楷体" w:hAnsi="华文楷体" w:eastAsia="华文楷体" w:cs="华文楷体"/>
                <w:sz w:val="28"/>
                <w:szCs w:val="28"/>
              </w:rPr>
            </w:pPr>
            <w:r>
              <w:rPr>
                <w:rFonts w:hint="eastAsia" w:ascii="华文楷体" w:hAnsi="华文楷体" w:eastAsia="华文楷体" w:cs="华文楷体"/>
                <w:sz w:val="28"/>
                <w:szCs w:val="28"/>
              </w:rPr>
              <w:t>业务系统</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35"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336"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384"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基层医疗卫生机构管理信息系统</w:t>
            </w:r>
          </w:p>
        </w:tc>
        <w:tc>
          <w:tcPr>
            <w:tcW w:w="1336" w:type="dxa"/>
            <w:vAlign w:val="center"/>
          </w:tcPr>
          <w:p>
            <w:pPr>
              <w:spacing w:line="0" w:lineRule="atLeast"/>
              <w:jc w:val="center"/>
              <w:rPr>
                <w:rFonts w:hint="eastAsia" w:ascii="宋体" w:hAnsi="宋体" w:eastAsia="宋体" w:cs="宋体"/>
                <w:sz w:val="28"/>
                <w:szCs w:val="28"/>
                <w:lang w:eastAsia="zh-CN"/>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ascii="宋体" w:hAnsi="宋体" w:eastAsia="宋体" w:cs="宋体"/>
                <w:color w:val="595959" w:themeColor="text1" w:themeTint="A6"/>
                <w:sz w:val="28"/>
                <w:szCs w:val="28"/>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卫生统计直报系统</w:t>
            </w:r>
          </w:p>
        </w:tc>
        <w:tc>
          <w:tcPr>
            <w:tcW w:w="1336"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药品药械采购服务平台</w:t>
            </w:r>
          </w:p>
        </w:tc>
        <w:tc>
          <w:tcPr>
            <w:tcW w:w="1336"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w:t>
            </w:r>
            <w:r>
              <w:rPr>
                <w:rFonts w:hint="eastAsia" w:ascii="宋体" w:hAnsi="宋体" w:eastAsia="宋体" w:cs="宋体"/>
                <w:color w:val="595959" w:themeColor="text1" w:themeTint="A6"/>
                <w:sz w:val="28"/>
                <w:szCs w:val="28"/>
                <w:lang w:val="en-US" w:eastAsia="zh-CN"/>
                <w14:textFill>
                  <w14:solidFill>
                    <w14:schemeClr w14:val="tx1">
                      <w14:lumMod w14:val="65000"/>
                      <w14:lumOff w14:val="35000"/>
                    </w14:schemeClr>
                  </w14:solidFill>
                </w14:textFill>
              </w:rPr>
              <w:t>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p>
        </w:tc>
        <w:tc>
          <w:tcPr>
            <w:tcW w:w="4235" w:type="dxa"/>
            <w:vAlign w:val="center"/>
          </w:tcPr>
          <w:p>
            <w:pPr>
              <w:spacing w:line="0" w:lineRule="atLeas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儿童免疫规划信息系统</w:t>
            </w:r>
          </w:p>
        </w:tc>
        <w:tc>
          <w:tcPr>
            <w:tcW w:w="1336"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w:t>
            </w:r>
            <w:r>
              <w:rPr>
                <w:rFonts w:hint="eastAsia" w:ascii="宋体" w:hAnsi="宋体" w:eastAsia="宋体" w:cs="宋体"/>
                <w:color w:val="595959" w:themeColor="text1" w:themeTint="A6"/>
                <w:sz w:val="28"/>
                <w:szCs w:val="28"/>
                <w:lang w:val="en-US" w:eastAsia="zh-CN"/>
                <w14:textFill>
                  <w14:solidFill>
                    <w14:schemeClr w14:val="tx1">
                      <w14:lumMod w14:val="65000"/>
                      <w14:lumOff w14:val="35000"/>
                    </w14:schemeClr>
                  </w14:solidFill>
                </w14:textFill>
              </w:rPr>
              <w:t>联通</w:t>
            </w:r>
          </w:p>
        </w:tc>
        <w:tc>
          <w:tcPr>
            <w:tcW w:w="1384" w:type="dxa"/>
            <w:vAlign w:val="center"/>
          </w:tcPr>
          <w:p>
            <w:pPr>
              <w:spacing w:line="0" w:lineRule="atLeast"/>
              <w:jc w:val="center"/>
              <w:rPr>
                <w:rFonts w:hint="eastAsia" w:ascii="宋体" w:hAnsi="宋体" w:eastAsia="宋体" w:cs="宋体"/>
                <w:sz w:val="28"/>
                <w:szCs w:val="28"/>
              </w:rPr>
            </w:pPr>
            <w:r>
              <w:rPr>
                <w:rFonts w:hint="eastAsia" w:ascii="宋体" w:hAnsi="宋体" w:eastAsia="宋体" w:cs="宋体"/>
                <w:color w:val="595959" w:themeColor="text1" w:themeTint="A6"/>
                <w:sz w:val="28"/>
                <w:szCs w:val="28"/>
                <w14:textFill>
                  <w14:solidFill>
                    <w14:schemeClr w14:val="tx1">
                      <w14:lumMod w14:val="65000"/>
                      <w14:lumOff w14:val="35000"/>
                    </w14:schemeClr>
                  </w14:solidFill>
                </w14:textFill>
              </w:rPr>
              <w:t>待实现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9105" w:type="dxa"/>
            <w:gridSpan w:val="5"/>
            <w:vAlign w:val="center"/>
          </w:tcPr>
          <w:p>
            <w:pPr>
              <w:spacing w:line="0" w:lineRule="atLeast"/>
              <w:jc w:val="left"/>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华文楷体" w:hAnsi="华文楷体" w:eastAsia="华文楷体" w:cs="华文楷体"/>
                <w:color w:val="auto"/>
                <w:sz w:val="28"/>
                <w:szCs w:val="28"/>
                <w:lang w:eastAsia="zh-CN"/>
              </w:rPr>
              <w:t>外部系统</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25" w:hRule="atLeast"/>
          <w:jc w:val="center"/>
        </w:trPr>
        <w:tc>
          <w:tcPr>
            <w:tcW w:w="761" w:type="dxa"/>
            <w:vAlign w:val="center"/>
          </w:tcPr>
          <w:p>
            <w:pPr>
              <w:spacing w:line="0" w:lineRule="atLeas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4235" w:type="dxa"/>
            <w:vAlign w:val="center"/>
          </w:tcPr>
          <w:p>
            <w:pPr>
              <w:spacing w:line="0" w:lineRule="atLeast"/>
              <w:jc w:val="left"/>
              <w:rPr>
                <w:rFonts w:hint="eastAsia" w:ascii="宋体" w:hAnsi="宋体" w:eastAsia="宋体" w:cs="宋体"/>
                <w:sz w:val="28"/>
                <w:szCs w:val="28"/>
              </w:rPr>
            </w:pPr>
            <w:r>
              <w:rPr>
                <w:rFonts w:hint="eastAsia" w:ascii="宋体" w:hAnsi="宋体" w:eastAsia="宋体" w:cs="宋体"/>
                <w:sz w:val="28"/>
                <w:szCs w:val="28"/>
              </w:rPr>
              <w:t>政务信息资源共享交换平台</w:t>
            </w:r>
          </w:p>
        </w:tc>
        <w:tc>
          <w:tcPr>
            <w:tcW w:w="1336"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已联通</w:t>
            </w:r>
          </w:p>
        </w:tc>
        <w:tc>
          <w:tcPr>
            <w:tcW w:w="1384" w:type="dxa"/>
            <w:vAlign w:val="center"/>
          </w:tcPr>
          <w:p>
            <w:pPr>
              <w:spacing w:line="0" w:lineRule="atLeas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实现</w:t>
            </w:r>
          </w:p>
        </w:tc>
        <w:tc>
          <w:tcPr>
            <w:tcW w:w="1389" w:type="dxa"/>
            <w:vAlign w:val="center"/>
          </w:tcPr>
          <w:p>
            <w:pPr>
              <w:spacing w:line="0" w:lineRule="atLeast"/>
              <w:jc w:val="center"/>
              <w:rPr>
                <w:rFonts w:hint="eastAsia" w:ascii="宋体" w:hAnsi="宋体" w:eastAsia="宋体" w:cs="宋体"/>
                <w:color w:val="595959" w:themeColor="text1" w:themeTint="A6"/>
                <w:sz w:val="28"/>
                <w:szCs w:val="28"/>
                <w:lang w:eastAsia="zh-CN"/>
                <w14:textFill>
                  <w14:solidFill>
                    <w14:schemeClr w14:val="tx1">
                      <w14:lumMod w14:val="65000"/>
                      <w14:lumOff w14:val="35000"/>
                    </w14:schemeClr>
                  </w14:solidFill>
                </w14:textFill>
              </w:rPr>
            </w:pPr>
            <w:r>
              <w:rPr>
                <w:rFonts w:hint="eastAsia" w:ascii="宋体" w:hAnsi="宋体" w:eastAsia="宋体" w:cs="宋体"/>
                <w:sz w:val="28"/>
                <w:szCs w:val="28"/>
                <w:lang w:eastAsia="zh-CN"/>
              </w:rPr>
              <w:t>—</w:t>
            </w: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404040" w:themeColor="text1" w:themeTint="BF"/>
          <w:sz w:val="28"/>
          <w14:textFill>
            <w14:solidFill>
              <w14:schemeClr w14:val="tx1">
                <w14:lumMod w14:val="75000"/>
                <w14:lumOff w14:val="25000"/>
              </w14:schemeClr>
            </w14:solidFill>
          </w14:textFill>
        </w:rPr>
        <w:t>吉林省卫生健康信息中心电子政务科</w:t>
      </w:r>
      <w:r>
        <w:rPr>
          <w:rFonts w:hint="eastAsia"/>
          <w:color w:val="404040" w:themeColor="text1" w:themeTint="BF"/>
          <w:sz w:val="28"/>
          <w14:textFill>
            <w14:solidFill>
              <w14:schemeClr w14:val="tx1">
                <w14:lumMod w14:val="75000"/>
                <w14:lumOff w14:val="25000"/>
              </w14:schemeClr>
            </w14:solidFill>
          </w14:textFill>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hint="eastAsia" w:ascii="黑体" w:hAnsi="黑体" w:eastAsia="黑体"/>
          <w:color w:val="FF0000"/>
          <w:sz w:val="28"/>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444500</wp:posOffset>
                </wp:positionV>
                <wp:extent cx="5291455" cy="0"/>
                <wp:effectExtent l="0" t="0" r="23495" b="19050"/>
                <wp:wrapNone/>
                <wp:docPr id="2" name="直接连接符 2"/>
                <wp:cNvGraphicFramePr/>
                <a:graphic xmlns:a="http://schemas.openxmlformats.org/drawingml/2006/main">
                  <a:graphicData uri="http://schemas.microsoft.com/office/word/2010/wordprocessingShape">
                    <wps:wsp>
                      <wps:cNvCnPr/>
                      <wps:spPr>
                        <a:xfrm>
                          <a:off x="0" y="0"/>
                          <a:ext cx="529145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35pt;height:0pt;width:416.65pt;z-index:251663360;mso-width-relative:page;mso-height-relative:page;" filled="f"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bxSoXWAAAABwEAAA8AAAAAAAAAAQAgAAAA&#10;IgAAAGRycy9kb3ducmV2LnhtbFBLAQIUABQAAAAIAIdO4kBjdmCo1AEAAIUDAAAOAAAAAAAAAAEA&#10;IAAAACUBAABkcnMvZTJvRG9jLnhtbFBLBQYAAAAABgAGAFkBAABrBQAAAAA=&#10;">
                <v:fill on="f" focussize="0,0"/>
                <v:stroke color="#808080 [1629]" joinstyle="round"/>
                <v:imagedata o:title=""/>
                <o:lock v:ext="edit" aspectratio="f"/>
              </v:line>
            </w:pict>
          </mc:Fallback>
        </mc:AlternateContent>
      </w:r>
      <w:r>
        <w:rPr>
          <w:rFonts w:hint="eastAsia" w:ascii="黑体" w:hAnsi="黑体" w:eastAsia="黑体"/>
          <w:color w:val="FF0000"/>
          <w:sz w:val="40"/>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60325</wp:posOffset>
                </wp:positionV>
                <wp:extent cx="5291455" cy="0"/>
                <wp:effectExtent l="0" t="0" r="23495" b="19050"/>
                <wp:wrapNone/>
                <wp:docPr id="1" name="直接连接符 1"/>
                <wp:cNvGraphicFramePr/>
                <a:graphic xmlns:a="http://schemas.openxmlformats.org/drawingml/2006/main">
                  <a:graphicData uri="http://schemas.microsoft.com/office/word/2010/wordprocessingShape">
                    <wps:wsp>
                      <wps:cNvCnPr/>
                      <wps:spPr>
                        <a:xfrm>
                          <a:off x="0" y="0"/>
                          <a:ext cx="529145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4.75pt;height:0pt;width:416.65pt;z-index:251661312;mso-width-relative:page;mso-height-relative:page;" filled="f"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3vFzWAAAABgEAAA8AAAAAAAAAAQAgAAAA&#10;IgAAAGRycy9kb3ducmV2LnhtbFBLAQIUABQAAAAIAIdO4kBYkk7h1AEAAIUDAAAOAAAAAAAAAAEA&#10;IAAAACUBAABkcnMvZTJvRG9jLnhtbFBLBQYAAAAABgAGAFkBAABrBQAAAAA=&#10;">
                <v:fill on="f" focussize="0,0"/>
                <v:stroke color="#808080 [1629]" joinstyle="round"/>
                <v:imagedata o:title=""/>
                <o:lock v:ext="edit" aspectratio="f"/>
              </v:line>
            </w:pict>
          </mc:Fallback>
        </mc:AlternateConten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方正准圆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F7"/>
    <w:rsid w:val="00020EF7"/>
    <w:rsid w:val="00024421"/>
    <w:rsid w:val="0010088F"/>
    <w:rsid w:val="0014087F"/>
    <w:rsid w:val="00161C2B"/>
    <w:rsid w:val="00173F2D"/>
    <w:rsid w:val="00183526"/>
    <w:rsid w:val="00186B34"/>
    <w:rsid w:val="001F5095"/>
    <w:rsid w:val="00202C4A"/>
    <w:rsid w:val="002120DF"/>
    <w:rsid w:val="00220E2A"/>
    <w:rsid w:val="00230A23"/>
    <w:rsid w:val="00235D52"/>
    <w:rsid w:val="0025135C"/>
    <w:rsid w:val="0026023C"/>
    <w:rsid w:val="00293959"/>
    <w:rsid w:val="002A649A"/>
    <w:rsid w:val="002C12B6"/>
    <w:rsid w:val="00314612"/>
    <w:rsid w:val="003316E7"/>
    <w:rsid w:val="00337AAD"/>
    <w:rsid w:val="00341AF0"/>
    <w:rsid w:val="003C11E2"/>
    <w:rsid w:val="003C4DCF"/>
    <w:rsid w:val="003F073E"/>
    <w:rsid w:val="003F5665"/>
    <w:rsid w:val="00416387"/>
    <w:rsid w:val="00421FBC"/>
    <w:rsid w:val="00444467"/>
    <w:rsid w:val="00486CA7"/>
    <w:rsid w:val="004D2DC8"/>
    <w:rsid w:val="004D2F6F"/>
    <w:rsid w:val="0051244F"/>
    <w:rsid w:val="00521838"/>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35347C"/>
    <w:rsid w:val="02386E17"/>
    <w:rsid w:val="02F419D4"/>
    <w:rsid w:val="02F60CEC"/>
    <w:rsid w:val="037D5BC6"/>
    <w:rsid w:val="03B85B0D"/>
    <w:rsid w:val="043474B6"/>
    <w:rsid w:val="046069C7"/>
    <w:rsid w:val="04640DA9"/>
    <w:rsid w:val="04F659C8"/>
    <w:rsid w:val="04FD505E"/>
    <w:rsid w:val="068D68C8"/>
    <w:rsid w:val="073A73F9"/>
    <w:rsid w:val="075122CA"/>
    <w:rsid w:val="07756076"/>
    <w:rsid w:val="083B314F"/>
    <w:rsid w:val="083F68FA"/>
    <w:rsid w:val="0876361A"/>
    <w:rsid w:val="089D6E9B"/>
    <w:rsid w:val="08C656C4"/>
    <w:rsid w:val="09756140"/>
    <w:rsid w:val="09F0654C"/>
    <w:rsid w:val="09F1011C"/>
    <w:rsid w:val="0A0D0996"/>
    <w:rsid w:val="0ABC4691"/>
    <w:rsid w:val="0AC94F51"/>
    <w:rsid w:val="0ADF7D7B"/>
    <w:rsid w:val="0B7E75CA"/>
    <w:rsid w:val="0B853528"/>
    <w:rsid w:val="0BA007EE"/>
    <w:rsid w:val="0C080EBC"/>
    <w:rsid w:val="0C9D427A"/>
    <w:rsid w:val="0D040E0D"/>
    <w:rsid w:val="0D411F4A"/>
    <w:rsid w:val="0D4A4FDA"/>
    <w:rsid w:val="0DC96DE6"/>
    <w:rsid w:val="0E7E0668"/>
    <w:rsid w:val="0F06487C"/>
    <w:rsid w:val="0FB03122"/>
    <w:rsid w:val="101D5D4A"/>
    <w:rsid w:val="10254CA8"/>
    <w:rsid w:val="10984FBD"/>
    <w:rsid w:val="10D2454F"/>
    <w:rsid w:val="10F56246"/>
    <w:rsid w:val="116077AC"/>
    <w:rsid w:val="11D0737A"/>
    <w:rsid w:val="11D93E81"/>
    <w:rsid w:val="122E2EB4"/>
    <w:rsid w:val="1370552D"/>
    <w:rsid w:val="138032DC"/>
    <w:rsid w:val="13A01A49"/>
    <w:rsid w:val="13D5605E"/>
    <w:rsid w:val="14566EC7"/>
    <w:rsid w:val="150B252A"/>
    <w:rsid w:val="154F116A"/>
    <w:rsid w:val="15720187"/>
    <w:rsid w:val="15B44CD4"/>
    <w:rsid w:val="162F5DCB"/>
    <w:rsid w:val="162F6CA4"/>
    <w:rsid w:val="164359EB"/>
    <w:rsid w:val="166B38D8"/>
    <w:rsid w:val="16AA5E31"/>
    <w:rsid w:val="16C21845"/>
    <w:rsid w:val="174F7BCE"/>
    <w:rsid w:val="175E3432"/>
    <w:rsid w:val="17732395"/>
    <w:rsid w:val="1930561F"/>
    <w:rsid w:val="193931B1"/>
    <w:rsid w:val="198F66CA"/>
    <w:rsid w:val="19CF3433"/>
    <w:rsid w:val="19EA2E7D"/>
    <w:rsid w:val="1A2D5480"/>
    <w:rsid w:val="1A7E4706"/>
    <w:rsid w:val="1AC7447F"/>
    <w:rsid w:val="1B1421C8"/>
    <w:rsid w:val="1BD11FCC"/>
    <w:rsid w:val="1BFC045C"/>
    <w:rsid w:val="1C337241"/>
    <w:rsid w:val="1C4C24C0"/>
    <w:rsid w:val="1CB60571"/>
    <w:rsid w:val="1CCB0519"/>
    <w:rsid w:val="1D204D03"/>
    <w:rsid w:val="1D5471AE"/>
    <w:rsid w:val="1D615CF0"/>
    <w:rsid w:val="1DA7449F"/>
    <w:rsid w:val="1E142C9E"/>
    <w:rsid w:val="1E48382B"/>
    <w:rsid w:val="1E4E03E1"/>
    <w:rsid w:val="1E685190"/>
    <w:rsid w:val="1EA96CDC"/>
    <w:rsid w:val="1ED92565"/>
    <w:rsid w:val="1EDB54D3"/>
    <w:rsid w:val="1EE94ADC"/>
    <w:rsid w:val="1EF7667C"/>
    <w:rsid w:val="1FBB5D2E"/>
    <w:rsid w:val="1FD75C24"/>
    <w:rsid w:val="20120CE0"/>
    <w:rsid w:val="20EA5298"/>
    <w:rsid w:val="22E57A8F"/>
    <w:rsid w:val="24774EF4"/>
    <w:rsid w:val="24AA65E1"/>
    <w:rsid w:val="24FB1F9B"/>
    <w:rsid w:val="25055DB9"/>
    <w:rsid w:val="254421F7"/>
    <w:rsid w:val="26212407"/>
    <w:rsid w:val="26E827A3"/>
    <w:rsid w:val="271D7FD0"/>
    <w:rsid w:val="27680961"/>
    <w:rsid w:val="278F10A1"/>
    <w:rsid w:val="27E552AA"/>
    <w:rsid w:val="28C22939"/>
    <w:rsid w:val="2926073A"/>
    <w:rsid w:val="293C2D73"/>
    <w:rsid w:val="298B1B62"/>
    <w:rsid w:val="2A276C5D"/>
    <w:rsid w:val="2A2B47AB"/>
    <w:rsid w:val="2C10670E"/>
    <w:rsid w:val="2C107E06"/>
    <w:rsid w:val="2C113BF3"/>
    <w:rsid w:val="2C986208"/>
    <w:rsid w:val="2CBD330F"/>
    <w:rsid w:val="2CDD5247"/>
    <w:rsid w:val="2CE15DC1"/>
    <w:rsid w:val="2CE979F4"/>
    <w:rsid w:val="2D6022D1"/>
    <w:rsid w:val="2E8D0AF1"/>
    <w:rsid w:val="2E9F0817"/>
    <w:rsid w:val="2F3D4790"/>
    <w:rsid w:val="2F575703"/>
    <w:rsid w:val="3095753C"/>
    <w:rsid w:val="319E2E4B"/>
    <w:rsid w:val="31A16383"/>
    <w:rsid w:val="31B51F74"/>
    <w:rsid w:val="31C243FE"/>
    <w:rsid w:val="327D3F11"/>
    <w:rsid w:val="32DC02F4"/>
    <w:rsid w:val="32F866D4"/>
    <w:rsid w:val="32F95EB8"/>
    <w:rsid w:val="333403FD"/>
    <w:rsid w:val="33F8458B"/>
    <w:rsid w:val="348A572E"/>
    <w:rsid w:val="349B739B"/>
    <w:rsid w:val="34C71874"/>
    <w:rsid w:val="34C96F78"/>
    <w:rsid w:val="35EE4118"/>
    <w:rsid w:val="36223773"/>
    <w:rsid w:val="3682648E"/>
    <w:rsid w:val="36A0557A"/>
    <w:rsid w:val="37C7355F"/>
    <w:rsid w:val="37CB3A6F"/>
    <w:rsid w:val="38B74BFC"/>
    <w:rsid w:val="39521EF8"/>
    <w:rsid w:val="39626C28"/>
    <w:rsid w:val="397E512A"/>
    <w:rsid w:val="398E7C2A"/>
    <w:rsid w:val="39E125D2"/>
    <w:rsid w:val="39E65040"/>
    <w:rsid w:val="3B151CBF"/>
    <w:rsid w:val="3BFB051C"/>
    <w:rsid w:val="3C7342B7"/>
    <w:rsid w:val="3CA8058A"/>
    <w:rsid w:val="3CE67238"/>
    <w:rsid w:val="3D29214F"/>
    <w:rsid w:val="3D6955FD"/>
    <w:rsid w:val="3DAF62C6"/>
    <w:rsid w:val="3DD11584"/>
    <w:rsid w:val="3DF24A8E"/>
    <w:rsid w:val="3E7D6DC0"/>
    <w:rsid w:val="3ECE3C3D"/>
    <w:rsid w:val="3EE363F4"/>
    <w:rsid w:val="3F043962"/>
    <w:rsid w:val="3FDE422D"/>
    <w:rsid w:val="3FF51C52"/>
    <w:rsid w:val="40BB7FAF"/>
    <w:rsid w:val="41887688"/>
    <w:rsid w:val="41893B62"/>
    <w:rsid w:val="41A21C8C"/>
    <w:rsid w:val="41B96EA8"/>
    <w:rsid w:val="4210370E"/>
    <w:rsid w:val="42244122"/>
    <w:rsid w:val="425D2E9E"/>
    <w:rsid w:val="428152C0"/>
    <w:rsid w:val="442A5561"/>
    <w:rsid w:val="4490572B"/>
    <w:rsid w:val="45034EC0"/>
    <w:rsid w:val="450661E9"/>
    <w:rsid w:val="452A3374"/>
    <w:rsid w:val="45A478DF"/>
    <w:rsid w:val="45B02A6C"/>
    <w:rsid w:val="45B10746"/>
    <w:rsid w:val="45B147C7"/>
    <w:rsid w:val="46F3686B"/>
    <w:rsid w:val="47435DC4"/>
    <w:rsid w:val="47CD11F6"/>
    <w:rsid w:val="48486A7E"/>
    <w:rsid w:val="487F6D3B"/>
    <w:rsid w:val="48A2762E"/>
    <w:rsid w:val="4939373E"/>
    <w:rsid w:val="49414CD5"/>
    <w:rsid w:val="494F5B63"/>
    <w:rsid w:val="499534C2"/>
    <w:rsid w:val="49BA48F8"/>
    <w:rsid w:val="49F01380"/>
    <w:rsid w:val="4A081C4C"/>
    <w:rsid w:val="4B192ECB"/>
    <w:rsid w:val="4B6C691B"/>
    <w:rsid w:val="4D600423"/>
    <w:rsid w:val="4DE034AA"/>
    <w:rsid w:val="4E333A1C"/>
    <w:rsid w:val="4E775E68"/>
    <w:rsid w:val="4E8E286D"/>
    <w:rsid w:val="4E8E4F13"/>
    <w:rsid w:val="4F207E24"/>
    <w:rsid w:val="5060191F"/>
    <w:rsid w:val="50924E0D"/>
    <w:rsid w:val="50C03BFE"/>
    <w:rsid w:val="50C341E8"/>
    <w:rsid w:val="51575092"/>
    <w:rsid w:val="518E58E6"/>
    <w:rsid w:val="51E72037"/>
    <w:rsid w:val="51FA4BE3"/>
    <w:rsid w:val="52CB17BD"/>
    <w:rsid w:val="53630D25"/>
    <w:rsid w:val="53CE4FAA"/>
    <w:rsid w:val="54052798"/>
    <w:rsid w:val="54AC0F6C"/>
    <w:rsid w:val="55244971"/>
    <w:rsid w:val="55391E68"/>
    <w:rsid w:val="57131FA7"/>
    <w:rsid w:val="578E287F"/>
    <w:rsid w:val="57EB0F45"/>
    <w:rsid w:val="582A5539"/>
    <w:rsid w:val="58B86CE3"/>
    <w:rsid w:val="58FB638B"/>
    <w:rsid w:val="592C6EA0"/>
    <w:rsid w:val="593305C0"/>
    <w:rsid w:val="59FC1D84"/>
    <w:rsid w:val="5A2A032C"/>
    <w:rsid w:val="5A333A8B"/>
    <w:rsid w:val="5B2049EB"/>
    <w:rsid w:val="5C0C009D"/>
    <w:rsid w:val="5C1F050F"/>
    <w:rsid w:val="5C385DB5"/>
    <w:rsid w:val="5C471909"/>
    <w:rsid w:val="5C8B5EBC"/>
    <w:rsid w:val="5D8419C3"/>
    <w:rsid w:val="5D9C75A7"/>
    <w:rsid w:val="5DA80265"/>
    <w:rsid w:val="5DA93281"/>
    <w:rsid w:val="5E61511B"/>
    <w:rsid w:val="5E720DBF"/>
    <w:rsid w:val="5EB918E0"/>
    <w:rsid w:val="5EC30AD4"/>
    <w:rsid w:val="5FA76E82"/>
    <w:rsid w:val="60991C9E"/>
    <w:rsid w:val="613749F0"/>
    <w:rsid w:val="6155360C"/>
    <w:rsid w:val="61A90F0B"/>
    <w:rsid w:val="623E7037"/>
    <w:rsid w:val="62F770BB"/>
    <w:rsid w:val="6332554B"/>
    <w:rsid w:val="634D0A99"/>
    <w:rsid w:val="639D128E"/>
    <w:rsid w:val="63EA14C3"/>
    <w:rsid w:val="64015DEE"/>
    <w:rsid w:val="64172B31"/>
    <w:rsid w:val="644E03A5"/>
    <w:rsid w:val="64B46F37"/>
    <w:rsid w:val="658020E0"/>
    <w:rsid w:val="65CE55C0"/>
    <w:rsid w:val="66541041"/>
    <w:rsid w:val="668C1316"/>
    <w:rsid w:val="66B46ECF"/>
    <w:rsid w:val="677E3CAC"/>
    <w:rsid w:val="683956FE"/>
    <w:rsid w:val="687445E5"/>
    <w:rsid w:val="68D979DA"/>
    <w:rsid w:val="69031FD4"/>
    <w:rsid w:val="69C867D9"/>
    <w:rsid w:val="6A177560"/>
    <w:rsid w:val="6A1B2EC4"/>
    <w:rsid w:val="6A262A85"/>
    <w:rsid w:val="6A267304"/>
    <w:rsid w:val="6A787584"/>
    <w:rsid w:val="6AB75257"/>
    <w:rsid w:val="6BA7239C"/>
    <w:rsid w:val="6BEF2267"/>
    <w:rsid w:val="6C8C3656"/>
    <w:rsid w:val="6CD33FE3"/>
    <w:rsid w:val="6CE379A3"/>
    <w:rsid w:val="6D461F04"/>
    <w:rsid w:val="6E457777"/>
    <w:rsid w:val="6EB47C52"/>
    <w:rsid w:val="6F0C5ECB"/>
    <w:rsid w:val="7039514A"/>
    <w:rsid w:val="704F3576"/>
    <w:rsid w:val="706A1308"/>
    <w:rsid w:val="71517091"/>
    <w:rsid w:val="71B54AEF"/>
    <w:rsid w:val="71F4562F"/>
    <w:rsid w:val="72000F86"/>
    <w:rsid w:val="7230490F"/>
    <w:rsid w:val="727400DB"/>
    <w:rsid w:val="72740BE7"/>
    <w:rsid w:val="72C06BCC"/>
    <w:rsid w:val="73060A5C"/>
    <w:rsid w:val="73F90008"/>
    <w:rsid w:val="740E4D27"/>
    <w:rsid w:val="74377BE9"/>
    <w:rsid w:val="74516089"/>
    <w:rsid w:val="750773C0"/>
    <w:rsid w:val="752A3847"/>
    <w:rsid w:val="759A03A1"/>
    <w:rsid w:val="75C56720"/>
    <w:rsid w:val="760B2514"/>
    <w:rsid w:val="76696C15"/>
    <w:rsid w:val="76A2468D"/>
    <w:rsid w:val="774B56AE"/>
    <w:rsid w:val="77AF58B8"/>
    <w:rsid w:val="78482B82"/>
    <w:rsid w:val="78CE1FCB"/>
    <w:rsid w:val="795A2B7A"/>
    <w:rsid w:val="79953693"/>
    <w:rsid w:val="79A33F04"/>
    <w:rsid w:val="79FF4318"/>
    <w:rsid w:val="7A452FA3"/>
    <w:rsid w:val="7A45359C"/>
    <w:rsid w:val="7A4F27F7"/>
    <w:rsid w:val="7A5B2A23"/>
    <w:rsid w:val="7A855099"/>
    <w:rsid w:val="7B0F6F0C"/>
    <w:rsid w:val="7B1A6776"/>
    <w:rsid w:val="7BE25D67"/>
    <w:rsid w:val="7C1925CC"/>
    <w:rsid w:val="7C3D50CF"/>
    <w:rsid w:val="7D362C30"/>
    <w:rsid w:val="7DA72C08"/>
    <w:rsid w:val="7E390E97"/>
    <w:rsid w:val="7EA97FF9"/>
    <w:rsid w:val="7EB01EAA"/>
    <w:rsid w:val="7EBF7D64"/>
    <w:rsid w:val="7ECC1334"/>
    <w:rsid w:val="7EE131B3"/>
    <w:rsid w:val="7F004999"/>
    <w:rsid w:val="7F163EE0"/>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Shading Accent 1"/>
    <w:basedOn w:val="6"/>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字符"/>
    <w:basedOn w:val="9"/>
    <w:link w:val="2"/>
    <w:semiHidden/>
    <w:qFormat/>
    <w:uiPriority w:val="99"/>
    <w:rPr>
      <w:sz w:val="18"/>
      <w:szCs w:val="18"/>
    </w:rPr>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1775</Words>
  <Characters>1876</Characters>
  <Lines>12</Lines>
  <Paragraphs>3</Paragraphs>
  <TotalTime>92</TotalTime>
  <ScaleCrop>false</ScaleCrop>
  <LinksUpToDate>false</LinksUpToDate>
  <CharactersWithSpaces>1924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2020-09-19T06:30:40Z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